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5884594.xml.htm"/>
      <w:bookmarkStart w:id="1" w:name="kswkform3_178588459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GOLDMAN SACHS GROUP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WEST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Attovia Therapeutics, Inc.</w:t>
              </w:r>
            </w:hyperlink>
            <w:r>
              <w:rPr/>
              <w:t xml:space="preserve"> [ </w:t>
            </w:r>
            <w:r>
              <w:rPr>
                <w:rFonts w:ascii="Times;serif" w:hAnsi="Times;serif"/>
                <w:color w:val="0000FF"/>
                <w:sz w:val="24"/>
                <w:shd w:fill="FFFFFF" w:val="clear"/>
              </w:rPr>
              <w:t>ATTO</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590"/>
        <w:gridCol w:w="1222"/>
        <w:gridCol w:w="1125"/>
        <w:gridCol w:w="1302"/>
        <w:gridCol w:w="1141"/>
        <w:gridCol w:w="1257"/>
        <w:gridCol w:w="1217"/>
        <w:gridCol w:w="135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5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4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5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11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5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5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B Preferred Stock</w:t>
            </w:r>
          </w:p>
        </w:tc>
        <w:tc>
          <w:tcPr>
            <w:tcW w:w="12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1,957,140</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r>
        <w:trPr/>
        <w:tc>
          <w:tcPr>
            <w:tcW w:w="15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C Preferred Stock</w:t>
            </w:r>
          </w:p>
        </w:tc>
        <w:tc>
          <w:tcPr>
            <w:tcW w:w="12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11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478,501</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(2)(3)(4)</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6">
                    <w:r>
                      <w:rPr>
                        <w:rStyle w:val="InternetLink"/>
                      </w:rPr>
                      <w:t>GOLDMAN SACHS GROUP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WEST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7">
                    <w:r>
                      <w:rPr>
                        <w:rStyle w:val="InternetLink"/>
                      </w:rPr>
                      <w:t>GOLDMAN SACHS &amp; CO.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WEST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GOLDMAN SACHS ASSET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WEST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Broad Street Principal Investments,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WEST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WSLS OFFSHORE INVESTMENTS, SLP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12E, RUE GUILLAUME KROLL</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LUXEMBOURG</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L-1882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LUXEMBOURG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West Street Life Sciences 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WEST STREEET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WSLS EMP OFFSHORE INVESTMENTS,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WEST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WSLS EMP ONSHORE INVESTMENTS,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WEST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All shares of the Issuer's redeemable convertible preferred stock will automatically convert into shares of the Issuer's common stock on a 1-for-1 basis, adjusted for a 1-for-9.29 reverse stock split effected by the Issuer on July 29, 2026, upon the completion of the Issuer's initial public offering.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statement is being filed by Goldman Sachs Group, Inc. ("GS Group"), Goldman Sachs &amp; Co. LLC, ("GS&amp;Co") Goldman Sachs Asset Management, L.P. ("GSAM LP"), Broad Street Principal Investments L.L.C. ("BSPI"), which directly holds 3,497,806 shares of Series B Preferred Stock and 855,179 shares of Series C Preferred Stock of the Issuer, WSLS Offshore Investments, SLP ("WSLS Offshore"), which directly holds 4,773,948 shares of Series B Preferred Stock and 1,167,182 shares of Series C Preferred Stock of the Issuer, West Street Life Sciences I, L.P. ("WSLS I"), which directly holds 5,007,564 shares of Series B Preferred Stock and 1,224,299 shares of Series C Preferred Stock of the Issuer, WSLS Emp Offshore Investments, L.P. ("WSLS Emp Offshore"), which directly holds 1,342,794 shares of Series B Preferred Stock and 328,300 shares of Series C Preferred Stock of the Issuer,... [continued in footnote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[continued from footnote 2]... and WSLS Emp Onshore Investments, L.P. ("WSLS Emp Onshore"), which directly holds 3,559,718 shares of Series B Preferred Stock and 870,315 shares of Series C Preferred Stock of the Issuer. GS&amp;Co. is a direct subsidiary of GS Group and is the manager of BSPI. WSLS Offshore, WSLS I, WSLS Emp Offshore, and WSLS Emp Onshore are investment vehicles managed by GSAM LP, an indirect subsidiary of GS Group.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of the Reporting Persons disclaims beneficial ownership of the securities reported herein except to the extent of its pecuniary interest therein, if any, and this report shall not be deemed an admission that any such Reporting Person is the beneficial owner of, or has any pecuniary interest in, such securities for purposes of Section 16 of the Exchange Act,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Crystal Orgill,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0886982" TargetMode="External"/><Relationship Id="rId3" Type="http://schemas.openxmlformats.org/officeDocument/2006/relationships/hyperlink" Target="http://www.sec.gov/cgi-bin/browse-edgar?action=getcompany&amp;CIK=0002058707"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hyperlink" Target="http://www.sec.gov/cgi-bin/browse-edgar?action=getcompany&amp;CIK=0000886982" TargetMode="External"/><Relationship Id="rId7" Type="http://schemas.openxmlformats.org/officeDocument/2006/relationships/hyperlink" Target="http://www.sec.gov/cgi-bin/browse-edgar?action=getcompany&amp;CIK=0000769993" TargetMode="External"/><Relationship Id="rId8" Type="http://schemas.openxmlformats.org/officeDocument/2006/relationships/hyperlink" Target="http://www.sec.gov/cgi-bin/browse-edgar?action=getcompany&amp;CIK=0001229262" TargetMode="External"/><Relationship Id="rId9" Type="http://schemas.openxmlformats.org/officeDocument/2006/relationships/hyperlink" Target="http://www.sec.gov/cgi-bin/browse-edgar?action=getcompany&amp;CIK=0001575993" TargetMode="External"/><Relationship Id="rId10" Type="http://schemas.openxmlformats.org/officeDocument/2006/relationships/hyperlink" Target="http://www.sec.gov/cgi-bin/browse-edgar?action=getcompany&amp;CIK=0002148330" TargetMode="External"/><Relationship Id="rId11" Type="http://schemas.openxmlformats.org/officeDocument/2006/relationships/hyperlink" Target="http://www.sec.gov/cgi-bin/browse-edgar?action=getcompany&amp;CIK=0001951154" TargetMode="External"/><Relationship Id="rId12" Type="http://schemas.openxmlformats.org/officeDocument/2006/relationships/hyperlink" Target="http://www.sec.gov/cgi-bin/browse-edgar?action=getcompany&amp;CIK=0002148329" TargetMode="External"/><Relationship Id="rId13" Type="http://schemas.openxmlformats.org/officeDocument/2006/relationships/hyperlink" Target="http://www.sec.gov/cgi-bin/browse-edgar?action=getcompany&amp;CIK=0002148331"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947</Words>
  <Characters>5124</Characters>
  <CharactersWithSpaces>5904</CharactersWithSpaces>
  <Paragraphs>188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