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16"/>
        </w:rPr>
      </w:pPr>
      <w:bookmarkStart w:id="0" w:name="d40469ds1a.htm"/>
      <w:bookmarkStart w:id="1" w:name="ksd40469ds1a"/>
      <w:bookmarkEnd w:id="0"/>
      <w:bookmarkEnd w:id="1"/>
      <w:r>
        <w:rPr>
          <w:rFonts w:ascii="Times New Roman" w:hAnsi="Times New Roman"/>
          <w:b/>
          <w:sz w:val="16"/>
        </w:rPr>
        <w:t xml:space="preserve">As filed with the Securities and Exchange Commission on August 4, 2026. </w:t>
      </w:r>
    </w:p>
    <w:p>
      <w:pPr>
        <w:pStyle w:val="TextBody"/>
        <w:bidi w:val="0"/>
        <w:spacing w:before="0" w:after="0"/>
        <w:jc w:val="right"/>
        <w:rPr>
          <w:rFonts w:ascii="Times New Roman" w:hAnsi="Times New Roman"/>
          <w:b/>
          <w:sz w:val="16"/>
        </w:rPr>
      </w:pPr>
      <w:r>
        <w:rPr>
          <w:rFonts w:ascii="Times New Roman" w:hAnsi="Times New Roman"/>
          <w:b/>
          <w:sz w:val="16"/>
        </w:rPr>
        <w:t xml:space="preserve">Registration No. 333-297452 </w:t>
      </w:r>
    </w:p>
    <w:p>
      <w:pPr>
        <w:pStyle w:val="TextBody"/>
        <w:bidi w:val="0"/>
        <w:spacing w:before="0" w:after="0"/>
        <w:jc w:val="left"/>
        <w:rPr/>
      </w:pPr>
      <w:r>
        <w:rPr/>
        <w:t> </w:t>
      </w:r>
    </w:p>
    <w:p>
      <w:pPr>
        <w:pStyle w:val="TextBody"/>
        <w:bidi w:val="0"/>
        <w:spacing w:lineRule="atLeast" w:line="142" w:before="0" w:after="0"/>
        <w:jc w:val="left"/>
        <w:rPr>
          <w:bdr w:val="single" w:sz="24" w:space="1" w:color="000000"/>
        </w:rPr>
      </w:pPr>
      <w:r>
        <w:rPr>
          <w:bdr w:val="single" w:sz="24" w:space="1" w:color="000000"/>
        </w:rPr>
        <w:t xml:space="preserve">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80" w:after="0"/>
        <w:jc w:val="center"/>
        <w:rPr>
          <w:rFonts w:ascii="Times New Roman" w:hAnsi="Times New Roman"/>
          <w:b/>
          <w:sz w:val="22"/>
        </w:rPr>
      </w:pPr>
      <w:r>
        <w:rPr>
          <w:rFonts w:ascii="Times New Roman" w:hAnsi="Times New Roman"/>
          <w:b/>
          <w:sz w:val="22"/>
        </w:rPr>
        <w:t xml:space="preserve">UNITED STATES </w:t>
      </w:r>
    </w:p>
    <w:p>
      <w:pPr>
        <w:pStyle w:val="TextBody"/>
        <w:bidi w:val="0"/>
        <w:spacing w:before="0" w:after="0"/>
        <w:jc w:val="center"/>
        <w:rPr>
          <w:rFonts w:ascii="Times New Roman" w:hAnsi="Times New Roman"/>
          <w:b/>
          <w:sz w:val="22"/>
        </w:rPr>
      </w:pPr>
      <w:r>
        <w:rPr>
          <w:rFonts w:ascii="Times New Roman" w:hAnsi="Times New Roman"/>
          <w:b/>
          <w:sz w:val="22"/>
        </w:rPr>
        <w:t xml:space="preserve">SECURITIES AND EXCHANGE COMMISSION </w:t>
      </w:r>
    </w:p>
    <w:p>
      <w:pPr>
        <w:pStyle w:val="TextBody"/>
        <w:bidi w:val="0"/>
        <w:spacing w:before="0" w:after="0"/>
        <w:jc w:val="center"/>
        <w:rPr>
          <w:rFonts w:ascii="Times New Roman" w:hAnsi="Times New Roman"/>
          <w:b/>
          <w:sz w:val="16"/>
        </w:rPr>
      </w:pPr>
      <w:r>
        <w:rPr>
          <w:rFonts w:ascii="Times New Roman" w:hAnsi="Times New Roman"/>
          <w:b/>
          <w:sz w:val="16"/>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22"/>
        </w:rPr>
      </w:pPr>
      <w:r>
        <w:rPr>
          <w:rFonts w:ascii="Times New Roman" w:hAnsi="Times New Roman"/>
          <w:b/>
          <w:sz w:val="22"/>
        </w:rPr>
        <w:t xml:space="preserve">AMENDMENT NO. 2 </w:t>
      </w:r>
    </w:p>
    <w:p>
      <w:pPr>
        <w:pStyle w:val="TextBody"/>
        <w:bidi w:val="0"/>
        <w:spacing w:before="0" w:after="0"/>
        <w:jc w:val="center"/>
        <w:rPr>
          <w:rFonts w:ascii="Times New Roman" w:hAnsi="Times New Roman"/>
          <w:b/>
          <w:sz w:val="22"/>
        </w:rPr>
      </w:pPr>
      <w:r>
        <w:rPr>
          <w:rFonts w:ascii="Times New Roman" w:hAnsi="Times New Roman"/>
          <w:b/>
          <w:sz w:val="22"/>
        </w:rPr>
        <w:t xml:space="preserve">TO </w:t>
      </w:r>
    </w:p>
    <w:p>
      <w:pPr>
        <w:pStyle w:val="TextBody"/>
        <w:bidi w:val="0"/>
        <w:spacing w:before="0" w:after="0"/>
        <w:jc w:val="center"/>
        <w:rPr>
          <w:rFonts w:ascii="Times New Roman" w:hAnsi="Times New Roman"/>
          <w:b/>
          <w:sz w:val="22"/>
        </w:rPr>
      </w:pPr>
      <w:r>
        <w:rPr>
          <w:rFonts w:ascii="Times New Roman" w:hAnsi="Times New Roman"/>
          <w:b/>
          <w:sz w:val="22"/>
        </w:rPr>
        <w:t xml:space="preserve">FORM S-1 </w:t>
      </w:r>
    </w:p>
    <w:p>
      <w:pPr>
        <w:pStyle w:val="TextBody"/>
        <w:bidi w:val="0"/>
        <w:spacing w:before="0" w:after="0"/>
        <w:jc w:val="center"/>
        <w:rPr>
          <w:rFonts w:ascii="Times New Roman" w:hAnsi="Times New Roman"/>
          <w:b/>
          <w:sz w:val="22"/>
        </w:rPr>
      </w:pPr>
      <w:r>
        <w:rPr>
          <w:rFonts w:ascii="Times New Roman" w:hAnsi="Times New Roman"/>
          <w:b/>
          <w:sz w:val="22"/>
        </w:rPr>
        <w:t xml:space="preserve">REGISTRATION STATEMENT </w:t>
      </w:r>
    </w:p>
    <w:p>
      <w:pPr>
        <w:pStyle w:val="TextBody"/>
        <w:bidi w:val="0"/>
        <w:spacing w:before="0" w:after="0"/>
        <w:jc w:val="center"/>
        <w:rPr>
          <w:rFonts w:ascii="Times New Roman" w:hAnsi="Times New Roman"/>
          <w:b/>
          <w:sz w:val="16"/>
        </w:rPr>
      </w:pPr>
      <w:r>
        <w:rPr>
          <w:rFonts w:ascii="Times New Roman" w:hAnsi="Times New Roman"/>
          <w:b/>
          <w:sz w:val="16"/>
        </w:rPr>
        <w:t xml:space="preserve">Under </w:t>
      </w:r>
    </w:p>
    <w:p>
      <w:pPr>
        <w:pStyle w:val="TextBody"/>
        <w:bidi w:val="0"/>
        <w:spacing w:before="0" w:after="0"/>
        <w:jc w:val="center"/>
        <w:rPr>
          <w:rFonts w:ascii="Times New Roman" w:hAnsi="Times New Roman"/>
          <w:b/>
          <w:sz w:val="16"/>
        </w:rPr>
      </w:pPr>
      <w:r>
        <w:rPr>
          <w:rFonts w:ascii="Times New Roman" w:hAnsi="Times New Roman"/>
          <w:b/>
          <w:sz w:val="16"/>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22"/>
        </w:rPr>
      </w:pPr>
      <w:r>
        <w:rPr>
          <w:rFonts w:ascii="Times New Roman" w:hAnsi="Times New Roman"/>
          <w:b/>
          <w:sz w:val="22"/>
        </w:rPr>
        <w:t xml:space="preserve">ATTOVIA THERAPEUTICS, INC. </w:t>
      </w:r>
    </w:p>
    <w:p>
      <w:pPr>
        <w:pStyle w:val="TextBody"/>
        <w:bidi w:val="0"/>
        <w:spacing w:before="0" w:after="0"/>
        <w:jc w:val="center"/>
        <w:rPr>
          <w:rFonts w:ascii="Times New Roman" w:hAnsi="Times New Roman"/>
          <w:sz w:val="16"/>
        </w:rPr>
      </w:pPr>
      <w:r>
        <w:rPr>
          <w:rFonts w:ascii="Times New Roman" w:hAnsi="Times New Roman"/>
          <w:sz w:val="16"/>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vAlign w:val="bottom"/>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3368" w:type="dxa"/>
            <w:tcBorders/>
            <w:vAlign w:val="bottom"/>
          </w:tcPr>
          <w:p>
            <w:pPr>
              <w:pStyle w:val="TableContents"/>
              <w:bidi w:val="0"/>
              <w:spacing w:before="0" w:after="283"/>
              <w:jc w:val="center"/>
              <w:rPr>
                <w:b/>
              </w:rPr>
            </w:pPr>
            <w:r>
              <w:rPr>
                <w:b/>
              </w:rPr>
              <w:t>2836</w:t>
            </w:r>
          </w:p>
        </w:tc>
        <w:tc>
          <w:tcPr>
            <w:tcW w:w="102"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b/>
              </w:rPr>
            </w:pPr>
            <w:r>
              <w:rPr>
                <w:b/>
              </w:rPr>
              <w:t>92-1510574</w:t>
            </w:r>
          </w:p>
        </w:tc>
      </w:tr>
      <w:tr>
        <w:trPr/>
        <w:tc>
          <w:tcPr>
            <w:tcW w:w="3367"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(State or other jurisdiction of</w:t>
            </w:r>
          </w:p>
          <w:p>
            <w:pPr>
              <w:pStyle w:val="TableContents"/>
              <w:bidi w:val="0"/>
              <w:spacing w:before="0" w:after="20"/>
              <w:jc w:val="center"/>
              <w:rPr>
                <w:rFonts w:ascii="Times New Roman" w:hAnsi="Times New Roman"/>
                <w:sz w:val="16"/>
              </w:rPr>
            </w:pPr>
            <w:r>
              <w:rPr>
                <w:rFonts w:ascii="Times New Roman" w:hAnsi="Times New Roman"/>
                <w:sz w:val="16"/>
              </w:rPr>
              <w:t>incorporation or organization)</w:t>
            </w:r>
          </w:p>
        </w:tc>
        <w:tc>
          <w:tcPr>
            <w:tcW w:w="102" w:type="dxa"/>
            <w:tcBorders/>
            <w:vAlign w:val="bottom"/>
          </w:tcPr>
          <w:p>
            <w:pPr>
              <w:pStyle w:val="TableContents"/>
              <w:bidi w:val="0"/>
              <w:spacing w:before="0" w:after="283"/>
              <w:jc w:val="left"/>
              <w:rPr/>
            </w:pPr>
            <w:r>
              <w:rPr/>
              <w:t> </w:t>
            </w:r>
          </w:p>
        </w:tc>
        <w:tc>
          <w:tcPr>
            <w:tcW w:w="3368"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(Primary Standard Industrial</w:t>
            </w:r>
          </w:p>
          <w:p>
            <w:pPr>
              <w:pStyle w:val="TableContents"/>
              <w:bidi w:val="0"/>
              <w:spacing w:before="0" w:after="20"/>
              <w:jc w:val="center"/>
              <w:rPr>
                <w:rFonts w:ascii="Times New Roman" w:hAnsi="Times New Roman"/>
                <w:sz w:val="16"/>
              </w:rPr>
            </w:pPr>
            <w:r>
              <w:rPr>
                <w:rFonts w:ascii="Times New Roman" w:hAnsi="Times New Roman"/>
                <w:sz w:val="16"/>
              </w:rPr>
              <w:t>Classification Code Number)</w:t>
            </w:r>
          </w:p>
        </w:tc>
        <w:tc>
          <w:tcPr>
            <w:tcW w:w="102"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(I.R.S. Employer</w:t>
            </w:r>
          </w:p>
          <w:p>
            <w:pPr>
              <w:pStyle w:val="TableContents"/>
              <w:bidi w:val="0"/>
              <w:spacing w:before="0" w:after="20"/>
              <w:jc w:val="center"/>
              <w:rPr>
                <w:rFonts w:ascii="Times New Roman" w:hAnsi="Times New Roman"/>
                <w:sz w:val="16"/>
              </w:rPr>
            </w:pPr>
            <w:r>
              <w:rPr>
                <w:rFonts w:ascii="Times New Roman" w:hAnsi="Times New Roman"/>
                <w:sz w:val="16"/>
              </w:rPr>
              <w:t>Identification Number)</w:t>
            </w:r>
          </w:p>
        </w:tc>
      </w:tr>
    </w:tbl>
    <w:p>
      <w:pPr>
        <w:pStyle w:val="TextBody"/>
        <w:bidi w:val="0"/>
        <w:spacing w:before="80" w:after="0"/>
        <w:jc w:val="center"/>
        <w:rPr>
          <w:rFonts w:ascii="Times New Roman" w:hAnsi="Times New Roman"/>
          <w:b/>
          <w:sz w:val="16"/>
        </w:rPr>
      </w:pPr>
      <w:r>
        <w:rPr>
          <w:rFonts w:ascii="Times New Roman" w:hAnsi="Times New Roman"/>
          <w:b/>
          <w:sz w:val="16"/>
        </w:rPr>
        <w:t xml:space="preserve">1091 Industrial Road, Suite 310 </w:t>
      </w:r>
    </w:p>
    <w:p>
      <w:pPr>
        <w:pStyle w:val="TextBody"/>
        <w:bidi w:val="0"/>
        <w:spacing w:before="0" w:after="0"/>
        <w:jc w:val="center"/>
        <w:rPr>
          <w:rFonts w:ascii="Times New Roman" w:hAnsi="Times New Roman"/>
          <w:b/>
          <w:sz w:val="16"/>
        </w:rPr>
      </w:pPr>
      <w:r>
        <w:rPr>
          <w:rFonts w:ascii="Times New Roman" w:hAnsi="Times New Roman"/>
          <w:b/>
          <w:sz w:val="16"/>
        </w:rPr>
        <w:t xml:space="preserve">San Carlos, California 94070 </w:t>
      </w:r>
    </w:p>
    <w:p>
      <w:pPr>
        <w:pStyle w:val="TextBody"/>
        <w:bidi w:val="0"/>
        <w:spacing w:before="0" w:after="0"/>
        <w:jc w:val="center"/>
        <w:rPr>
          <w:rFonts w:ascii="Times New Roman" w:hAnsi="Times New Roman"/>
          <w:b/>
          <w:sz w:val="16"/>
        </w:rPr>
      </w:pPr>
      <w:r>
        <w:rPr>
          <w:rFonts w:ascii="Times New Roman" w:hAnsi="Times New Roman"/>
          <w:b/>
          <w:sz w:val="16"/>
        </w:rPr>
        <w:t xml:space="preserve">(510) 399-5001 </w:t>
      </w:r>
    </w:p>
    <w:p>
      <w:pPr>
        <w:pStyle w:val="TextBody"/>
        <w:bidi w:val="0"/>
        <w:spacing w:before="0" w:after="0"/>
        <w:jc w:val="center"/>
        <w:rPr>
          <w:rFonts w:ascii="Times New Roman" w:hAnsi="Times New Roman"/>
          <w:sz w:val="16"/>
        </w:rPr>
      </w:pPr>
      <w:r>
        <w:rPr>
          <w:rFonts w:ascii="Times New Roman" w:hAnsi="Times New Roman"/>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16"/>
        </w:rPr>
      </w:pPr>
      <w:r>
        <w:rPr>
          <w:rFonts w:ascii="Times New Roman" w:hAnsi="Times New Roman"/>
          <w:b/>
          <w:sz w:val="16"/>
        </w:rPr>
        <w:t xml:space="preserve">Tao Fu </w:t>
      </w:r>
    </w:p>
    <w:p>
      <w:pPr>
        <w:pStyle w:val="TextBody"/>
        <w:bidi w:val="0"/>
        <w:spacing w:before="0" w:after="0"/>
        <w:jc w:val="center"/>
        <w:rPr>
          <w:rFonts w:ascii="Times New Roman" w:hAnsi="Times New Roman"/>
          <w:b/>
          <w:sz w:val="16"/>
        </w:rPr>
      </w:pPr>
      <w:r>
        <w:rPr>
          <w:rFonts w:ascii="Times New Roman" w:hAnsi="Times New Roman"/>
          <w:b/>
          <w:sz w:val="16"/>
        </w:rPr>
        <w:t xml:space="preserve">Chief Executive Officer </w:t>
      </w:r>
    </w:p>
    <w:p>
      <w:pPr>
        <w:pStyle w:val="TextBody"/>
        <w:bidi w:val="0"/>
        <w:spacing w:before="0" w:after="0"/>
        <w:jc w:val="center"/>
        <w:rPr>
          <w:rFonts w:ascii="Times New Roman" w:hAnsi="Times New Roman"/>
          <w:b/>
          <w:sz w:val="16"/>
        </w:rPr>
      </w:pPr>
      <w:r>
        <w:rPr>
          <w:rFonts w:ascii="Times New Roman" w:hAnsi="Times New Roman"/>
          <w:b/>
          <w:sz w:val="16"/>
        </w:rPr>
        <w:t xml:space="preserve">1091 Industrial Road, Suite 310 </w:t>
      </w:r>
    </w:p>
    <w:p>
      <w:pPr>
        <w:pStyle w:val="TextBody"/>
        <w:bidi w:val="0"/>
        <w:spacing w:before="0" w:after="0"/>
        <w:jc w:val="center"/>
        <w:rPr>
          <w:rFonts w:ascii="Times New Roman" w:hAnsi="Times New Roman"/>
          <w:b/>
          <w:sz w:val="16"/>
        </w:rPr>
      </w:pPr>
      <w:r>
        <w:rPr>
          <w:rFonts w:ascii="Times New Roman" w:hAnsi="Times New Roman"/>
          <w:b/>
          <w:sz w:val="16"/>
        </w:rPr>
        <w:t xml:space="preserve">San Carlos, California 94070 </w:t>
      </w:r>
    </w:p>
    <w:p>
      <w:pPr>
        <w:pStyle w:val="TextBody"/>
        <w:bidi w:val="0"/>
        <w:spacing w:before="0" w:after="0"/>
        <w:jc w:val="center"/>
        <w:rPr>
          <w:rFonts w:ascii="Times New Roman" w:hAnsi="Times New Roman"/>
          <w:b/>
          <w:sz w:val="16"/>
        </w:rPr>
      </w:pPr>
      <w:r>
        <w:rPr>
          <w:rFonts w:ascii="Times New Roman" w:hAnsi="Times New Roman"/>
          <w:b/>
          <w:sz w:val="16"/>
        </w:rPr>
        <w:t xml:space="preserve">(510) 399-5001 </w:t>
      </w:r>
    </w:p>
    <w:p>
      <w:pPr>
        <w:pStyle w:val="TextBody"/>
        <w:bidi w:val="0"/>
        <w:spacing w:before="0" w:after="0"/>
        <w:jc w:val="center"/>
        <w:rPr>
          <w:rFonts w:ascii="Times New Roman" w:hAnsi="Times New Roman"/>
          <w:sz w:val="16"/>
        </w:rPr>
      </w:pPr>
      <w:r>
        <w:rPr>
          <w:rFonts w:ascii="Times New Roman" w:hAnsi="Times New Roman"/>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i/>
          <w:sz w:val="16"/>
        </w:rPr>
      </w:pPr>
      <w:r>
        <w:rPr>
          <w:rFonts w:ascii="Times New Roman" w:hAnsi="Times New Roman"/>
          <w:i/>
          <w:sz w:val="16"/>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Matthew Rossiter, Esq.</w:t>
            </w:r>
          </w:p>
          <w:p>
            <w:pPr>
              <w:pStyle w:val="TableContents"/>
              <w:bidi w:val="0"/>
              <w:spacing w:before="0" w:after="0"/>
              <w:jc w:val="center"/>
              <w:rPr>
                <w:rFonts w:ascii="Times New Roman" w:hAnsi="Times New Roman"/>
                <w:b/>
                <w:sz w:val="16"/>
              </w:rPr>
            </w:pPr>
            <w:r>
              <w:rPr>
                <w:rFonts w:ascii="Times New Roman" w:hAnsi="Times New Roman"/>
                <w:b/>
                <w:sz w:val="16"/>
              </w:rPr>
              <w:t>Robert A. Freedman, Esq.</w:t>
            </w:r>
          </w:p>
          <w:p>
            <w:pPr>
              <w:pStyle w:val="TableContents"/>
              <w:bidi w:val="0"/>
              <w:spacing w:before="0" w:after="0"/>
              <w:jc w:val="center"/>
              <w:rPr>
                <w:rFonts w:ascii="Times New Roman" w:hAnsi="Times New Roman"/>
                <w:b/>
                <w:sz w:val="16"/>
              </w:rPr>
            </w:pPr>
            <w:r>
              <w:rPr>
                <w:rFonts w:ascii="Times New Roman" w:hAnsi="Times New Roman"/>
                <w:b/>
                <w:sz w:val="16"/>
              </w:rPr>
              <w:t>Amanda Rose, Esq.</w:t>
            </w:r>
          </w:p>
          <w:p>
            <w:pPr>
              <w:pStyle w:val="TableContents"/>
              <w:bidi w:val="0"/>
              <w:spacing w:before="0" w:after="0"/>
              <w:jc w:val="center"/>
              <w:rPr>
                <w:rFonts w:ascii="Times New Roman" w:hAnsi="Times New Roman"/>
                <w:b/>
                <w:sz w:val="16"/>
              </w:rPr>
            </w:pPr>
            <w:r>
              <w:rPr>
                <w:rFonts w:ascii="Times New Roman" w:hAnsi="Times New Roman"/>
                <w:b/>
                <w:sz w:val="16"/>
              </w:rPr>
              <w:t>Chelsea Anderson, Esq.</w:t>
            </w:r>
          </w:p>
          <w:p>
            <w:pPr>
              <w:pStyle w:val="TableContents"/>
              <w:bidi w:val="0"/>
              <w:spacing w:before="0" w:after="0"/>
              <w:jc w:val="center"/>
              <w:rPr>
                <w:rFonts w:ascii="Times New Roman" w:hAnsi="Times New Roman"/>
                <w:b/>
                <w:sz w:val="16"/>
              </w:rPr>
            </w:pPr>
            <w:r>
              <w:rPr>
                <w:rFonts w:ascii="Times New Roman" w:hAnsi="Times New Roman"/>
                <w:b/>
                <w:sz w:val="16"/>
              </w:rPr>
              <w:t>Fenwick &amp; West LLP</w:t>
            </w:r>
          </w:p>
          <w:p>
            <w:pPr>
              <w:pStyle w:val="TableContents"/>
              <w:bidi w:val="0"/>
              <w:spacing w:before="0" w:after="0"/>
              <w:jc w:val="center"/>
              <w:rPr>
                <w:rFonts w:ascii="Times New Roman" w:hAnsi="Times New Roman"/>
                <w:b/>
                <w:sz w:val="16"/>
              </w:rPr>
            </w:pPr>
            <w:r>
              <w:rPr>
                <w:rFonts w:ascii="Times New Roman" w:hAnsi="Times New Roman"/>
                <w:b/>
                <w:sz w:val="16"/>
              </w:rPr>
              <w:t>One Front Street</w:t>
            </w:r>
          </w:p>
          <w:p>
            <w:pPr>
              <w:pStyle w:val="TableContents"/>
              <w:bidi w:val="0"/>
              <w:spacing w:before="0" w:after="0"/>
              <w:jc w:val="center"/>
              <w:rPr>
                <w:rFonts w:ascii="Times New Roman" w:hAnsi="Times New Roman"/>
                <w:b/>
                <w:sz w:val="16"/>
              </w:rPr>
            </w:pPr>
            <w:r>
              <w:rPr>
                <w:rFonts w:ascii="Times New Roman" w:hAnsi="Times New Roman"/>
                <w:b/>
                <w:sz w:val="16"/>
              </w:rPr>
              <w:t>33rd Floor</w:t>
            </w:r>
          </w:p>
          <w:p>
            <w:pPr>
              <w:pStyle w:val="TableContents"/>
              <w:bidi w:val="0"/>
              <w:spacing w:before="0" w:after="0"/>
              <w:jc w:val="center"/>
              <w:rPr>
                <w:rFonts w:ascii="Times New Roman" w:hAnsi="Times New Roman"/>
                <w:b/>
                <w:sz w:val="16"/>
              </w:rPr>
            </w:pPr>
            <w:r>
              <w:rPr>
                <w:rFonts w:ascii="Times New Roman" w:hAnsi="Times New Roman"/>
                <w:b/>
                <w:sz w:val="16"/>
              </w:rPr>
              <w:t>San Francisco, California 94111</w:t>
            </w:r>
          </w:p>
          <w:p>
            <w:pPr>
              <w:pStyle w:val="TableContents"/>
              <w:bidi w:val="0"/>
              <w:spacing w:before="0" w:after="20"/>
              <w:jc w:val="center"/>
              <w:rPr>
                <w:rFonts w:ascii="Times New Roman" w:hAnsi="Times New Roman"/>
                <w:b/>
                <w:sz w:val="16"/>
              </w:rPr>
            </w:pPr>
            <w:r>
              <w:rPr>
                <w:rFonts w:ascii="Times New Roman" w:hAnsi="Times New Roman"/>
                <w:b/>
                <w:sz w:val="16"/>
              </w:rPr>
              <w:t>(415) 875-2300</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Charles S. Kim, Esq.</w:t>
            </w:r>
          </w:p>
          <w:p>
            <w:pPr>
              <w:pStyle w:val="TableContents"/>
              <w:bidi w:val="0"/>
              <w:spacing w:before="0" w:after="0"/>
              <w:jc w:val="center"/>
              <w:rPr>
                <w:rFonts w:ascii="Times New Roman" w:hAnsi="Times New Roman"/>
                <w:b/>
                <w:sz w:val="16"/>
              </w:rPr>
            </w:pPr>
            <w:r>
              <w:rPr>
                <w:rFonts w:ascii="Times New Roman" w:hAnsi="Times New Roman"/>
                <w:b/>
                <w:sz w:val="16"/>
              </w:rPr>
              <w:t>Kristin VanderPas, Esq.</w:t>
            </w:r>
          </w:p>
          <w:p>
            <w:pPr>
              <w:pStyle w:val="TableContents"/>
              <w:bidi w:val="0"/>
              <w:spacing w:before="0" w:after="0"/>
              <w:jc w:val="center"/>
              <w:rPr>
                <w:rFonts w:ascii="Times New Roman" w:hAnsi="Times New Roman"/>
                <w:b/>
                <w:sz w:val="16"/>
              </w:rPr>
            </w:pPr>
            <w:r>
              <w:rPr>
                <w:rFonts w:ascii="Times New Roman" w:hAnsi="Times New Roman"/>
                <w:b/>
                <w:sz w:val="16"/>
              </w:rPr>
              <w:t>Denny Won, Esq.</w:t>
            </w:r>
          </w:p>
          <w:p>
            <w:pPr>
              <w:pStyle w:val="TableContents"/>
              <w:bidi w:val="0"/>
              <w:spacing w:before="0" w:after="0"/>
              <w:jc w:val="center"/>
              <w:rPr>
                <w:rFonts w:ascii="Times New Roman" w:hAnsi="Times New Roman"/>
                <w:b/>
                <w:sz w:val="16"/>
              </w:rPr>
            </w:pPr>
            <w:r>
              <w:rPr>
                <w:rFonts w:ascii="Times New Roman" w:hAnsi="Times New Roman"/>
                <w:b/>
                <w:sz w:val="16"/>
              </w:rPr>
              <w:t>Dave Peinsipp</w:t>
            </w:r>
          </w:p>
          <w:p>
            <w:pPr>
              <w:pStyle w:val="TableContents"/>
              <w:bidi w:val="0"/>
              <w:spacing w:before="0" w:after="0"/>
              <w:jc w:val="center"/>
              <w:rPr>
                <w:rFonts w:ascii="Times New Roman" w:hAnsi="Times New Roman"/>
                <w:b/>
                <w:sz w:val="16"/>
              </w:rPr>
            </w:pPr>
            <w:r>
              <w:rPr>
                <w:rFonts w:ascii="Times New Roman" w:hAnsi="Times New Roman"/>
                <w:b/>
                <w:sz w:val="16"/>
              </w:rPr>
              <w:t>Cooley LLP</w:t>
            </w:r>
          </w:p>
          <w:p>
            <w:pPr>
              <w:pStyle w:val="TableContents"/>
              <w:bidi w:val="0"/>
              <w:spacing w:before="0" w:after="0"/>
              <w:jc w:val="center"/>
              <w:rPr>
                <w:rFonts w:ascii="Times New Roman" w:hAnsi="Times New Roman"/>
                <w:b/>
                <w:sz w:val="16"/>
              </w:rPr>
            </w:pPr>
            <w:r>
              <w:rPr>
                <w:rFonts w:ascii="Times New Roman" w:hAnsi="Times New Roman"/>
                <w:b/>
                <w:sz w:val="16"/>
              </w:rPr>
              <w:t>10265 Science Center Drive</w:t>
            </w:r>
          </w:p>
          <w:p>
            <w:pPr>
              <w:pStyle w:val="TableContents"/>
              <w:bidi w:val="0"/>
              <w:spacing w:before="0" w:after="0"/>
              <w:jc w:val="center"/>
              <w:rPr>
                <w:rFonts w:ascii="Times New Roman" w:hAnsi="Times New Roman"/>
                <w:b/>
                <w:sz w:val="16"/>
              </w:rPr>
            </w:pPr>
            <w:r>
              <w:rPr>
                <w:rFonts w:ascii="Times New Roman" w:hAnsi="Times New Roman"/>
                <w:b/>
                <w:sz w:val="16"/>
              </w:rPr>
              <w:t>San Diego, California 92121</w:t>
            </w:r>
          </w:p>
          <w:p>
            <w:pPr>
              <w:pStyle w:val="TableContents"/>
              <w:bidi w:val="0"/>
              <w:spacing w:before="0" w:after="20"/>
              <w:jc w:val="center"/>
              <w:rPr>
                <w:rFonts w:ascii="Times New Roman" w:hAnsi="Times New Roman"/>
                <w:b/>
                <w:sz w:val="16"/>
              </w:rPr>
            </w:pPr>
            <w:r>
              <w:rPr>
                <w:rFonts w:ascii="Times New Roman" w:hAnsi="Times New Roman"/>
                <w:b/>
                <w:sz w:val="16"/>
              </w:rPr>
              <w:t>(858) 550-6000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both"/>
        <w:rPr>
          <w:rFonts w:ascii="Times New Roman" w:hAnsi="Times New Roman"/>
          <w:sz w:val="16"/>
        </w:rPr>
      </w:pPr>
      <w:r>
        <w:rPr>
          <w:rFonts w:ascii="Times New Roman" w:hAnsi="Times New Roman"/>
          <w:b/>
          <w:sz w:val="16"/>
        </w:rPr>
        <w:t>Approximate date of commencement of proposed sale to the public:</w:t>
      </w:r>
      <w:r>
        <w:rPr>
          <w:rFonts w:ascii="Times New Roman" w:hAnsi="Times New Roman"/>
          <w:sz w:val="16"/>
        </w:rPr>
        <w:t xml:space="preserve"> As soon as practicable after the effective date of this registration statement. </w:t>
      </w:r>
    </w:p>
    <w:p>
      <w:pPr>
        <w:pStyle w:val="TextBody"/>
        <w:bidi w:val="0"/>
        <w:spacing w:before="80" w:after="0"/>
        <w:jc w:val="both"/>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check the following box. ☐ </w:t>
      </w:r>
    </w:p>
    <w:p>
      <w:pPr>
        <w:pStyle w:val="TextBody"/>
        <w:bidi w:val="0"/>
        <w:spacing w:before="80" w:after="0"/>
        <w:jc w:val="both"/>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80" w:after="0"/>
        <w:jc w:val="both"/>
        <w:rPr>
          <w:rFonts w:ascii="Times New Roman" w:hAnsi="Times New Roman"/>
          <w:sz w:val="16"/>
        </w:rPr>
      </w:pPr>
      <w:r>
        <w:rPr>
          <w:rFonts w:ascii="Times New Roman" w:hAnsi="Times New Roman"/>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80" w:after="0"/>
        <w:jc w:val="both"/>
        <w:rPr>
          <w:rFonts w:ascii="Times New Roman" w:hAnsi="Times New Roman"/>
          <w:sz w:val="16"/>
        </w:rPr>
      </w:pPr>
      <w:r>
        <w:rPr>
          <w:rFonts w:ascii="Times New Roman" w:hAnsi="Times New Roman"/>
          <w:sz w:val="16"/>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80" w:after="0"/>
        <w:jc w:val="both"/>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75"/>
        <w:gridCol w:w="101"/>
        <w:gridCol w:w="2472"/>
        <w:gridCol w:w="101"/>
        <w:gridCol w:w="2539"/>
        <w:gridCol w:w="101"/>
        <w:gridCol w:w="2616"/>
      </w:tblGrid>
      <w:tr>
        <w:trPr/>
        <w:tc>
          <w:tcPr>
            <w:tcW w:w="227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r>
      <w:tr>
        <w:trPr/>
        <w:tc>
          <w:tcPr>
            <w:tcW w:w="2275" w:type="dxa"/>
            <w:tcBorders/>
          </w:tcPr>
          <w:p>
            <w:pPr>
              <w:pStyle w:val="TableContents"/>
              <w:bidi w:val="0"/>
              <w:spacing w:before="0" w:after="283"/>
              <w:jc w:val="left"/>
              <w:rPr/>
            </w:pPr>
            <w:r>
              <w:rPr/>
              <w:t>Large accelerated filer ☐</w:t>
            </w:r>
          </w:p>
        </w:tc>
        <w:tc>
          <w:tcPr>
            <w:tcW w:w="101" w:type="dxa"/>
            <w:tcBorders/>
            <w:vAlign w:val="bottom"/>
          </w:tcPr>
          <w:p>
            <w:pPr>
              <w:pStyle w:val="TableContents"/>
              <w:bidi w:val="0"/>
              <w:spacing w:before="0" w:after="283"/>
              <w:jc w:val="left"/>
              <w:rPr/>
            </w:pPr>
            <w:r>
              <w:rPr/>
              <w:t> </w:t>
            </w:r>
          </w:p>
        </w:tc>
        <w:tc>
          <w:tcPr>
            <w:tcW w:w="2472" w:type="dxa"/>
            <w:tcBorders/>
          </w:tcPr>
          <w:p>
            <w:pPr>
              <w:pStyle w:val="TableContents"/>
              <w:bidi w:val="0"/>
              <w:spacing w:before="0" w:after="283"/>
              <w:jc w:val="left"/>
              <w:rPr/>
            </w:pPr>
            <w:r>
              <w:rPr/>
              <w:t>Accelerated filer ☐</w:t>
            </w:r>
          </w:p>
        </w:tc>
        <w:tc>
          <w:tcPr>
            <w:tcW w:w="101" w:type="dxa"/>
            <w:tcBorders/>
            <w:vAlign w:val="bottom"/>
          </w:tcPr>
          <w:p>
            <w:pPr>
              <w:pStyle w:val="TableContents"/>
              <w:bidi w:val="0"/>
              <w:spacing w:before="0" w:after="283"/>
              <w:jc w:val="left"/>
              <w:rPr/>
            </w:pPr>
            <w:r>
              <w:rPr/>
              <w:t> </w:t>
            </w:r>
          </w:p>
        </w:tc>
        <w:tc>
          <w:tcPr>
            <w:tcW w:w="2539" w:type="dxa"/>
            <w:tcBorders/>
          </w:tcPr>
          <w:p>
            <w:pPr>
              <w:pStyle w:val="TableContents"/>
              <w:bidi w:val="0"/>
              <w:spacing w:before="0" w:after="283"/>
              <w:jc w:val="left"/>
              <w:rPr/>
            </w:pPr>
            <w:r>
              <w:rPr/>
              <w:t>Non-accelerated filer ☒</w:t>
            </w:r>
          </w:p>
        </w:tc>
        <w:tc>
          <w:tcPr>
            <w:tcW w:w="101" w:type="dxa"/>
            <w:tcBorders/>
            <w:vAlign w:val="bottom"/>
          </w:tcPr>
          <w:p>
            <w:pPr>
              <w:pStyle w:val="TableContents"/>
              <w:bidi w:val="0"/>
              <w:spacing w:before="0" w:after="283"/>
              <w:jc w:val="left"/>
              <w:rPr/>
            </w:pPr>
            <w:r>
              <w:rPr/>
              <w:t> </w:t>
            </w:r>
          </w:p>
        </w:tc>
        <w:tc>
          <w:tcPr>
            <w:tcW w:w="2616" w:type="dxa"/>
            <w:tcBorders/>
          </w:tcPr>
          <w:p>
            <w:pPr>
              <w:pStyle w:val="TableContents"/>
              <w:bidi w:val="0"/>
              <w:spacing w:before="0" w:after="283"/>
              <w:jc w:val="left"/>
              <w:rPr/>
            </w:pPr>
            <w:r>
              <w:rPr/>
              <w:t>Smaller reporting company ☒</w:t>
            </w:r>
          </w:p>
        </w:tc>
      </w:tr>
    </w:tbl>
    <w:p>
      <w:pPr>
        <w:pStyle w:val="TextBody"/>
        <w:bidi w:val="0"/>
        <w:spacing w:before="120" w:after="0"/>
        <w:jc w:val="left"/>
        <w:rPr>
          <w:rFonts w:ascii="Times New Roman" w:hAnsi="Times New Roman"/>
          <w:sz w:val="16"/>
        </w:rPr>
      </w:pPr>
      <w:r>
        <w:rPr>
          <w:rFonts w:ascii="Times New Roman" w:hAnsi="Times New Roman"/>
          <w:sz w:val="16"/>
        </w:rPr>
        <w:t xml:space="preserve">Emerging growth company ☒ </w:t>
      </w:r>
    </w:p>
    <w:p>
      <w:pPr>
        <w:pStyle w:val="TextBody"/>
        <w:bidi w:val="0"/>
        <w:spacing w:before="80" w:after="0"/>
        <w:jc w:val="both"/>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both"/>
        <w:rPr>
          <w:rFonts w:ascii="Times New Roman" w:hAnsi="Times New Roman"/>
          <w:b/>
          <w:sz w:val="16"/>
        </w:rPr>
      </w:pPr>
      <w:r>
        <w:rPr>
          <w:rFonts w:ascii="Times New Roman" w:hAnsi="Times New Roman"/>
          <w:b/>
          <w:sz w:val="16"/>
        </w:rPr>
        <w:t xml:space="preserve">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8" w:space="1" w:color="000000"/>
        </w:rPr>
      </w:pPr>
      <w:r>
        <w:rPr>
          <w:bdr w:val="single" w:sz="8" w:space="1" w:color="000000"/>
        </w:rPr>
        <w:t xml:space="preserve">  </w:t>
      </w:r>
    </w:p>
    <w:p>
      <w:pPr>
        <w:pStyle w:val="TextBody"/>
        <w:bidi w:val="0"/>
        <w:spacing w:lineRule="atLeast" w:line="142" w:before="0" w:after="40"/>
        <w:jc w:val="left"/>
        <w:rPr>
          <w:bdr w:val="single" w:sz="24" w:space="1" w:color="000000"/>
        </w:rPr>
      </w:pPr>
      <w:r>
        <w:rPr>
          <w:bdr w:val="single" w:sz="24" w:space="1" w:color="000000"/>
        </w:rPr>
        <w:t> </w:t>
      </w:r>
      <w:r>
        <w:br w:type="page"/>
      </w:r>
    </w:p>
    <w:p>
      <w:pPr>
        <w:pStyle w:val="HorizontalLine"/>
        <w:pBdr>
          <w:bottom w:val="double" w:sz="6" w:space="0" w:color="808080"/>
        </w:pBdr>
        <w:bidi w:val="0"/>
        <w:jc w:val="left"/>
        <w:rPr/>
      </w:pPr>
      <w:r>
        <w:rPr/>
      </w:r>
    </w:p>
    <w:p>
      <w:pPr>
        <w:pStyle w:val="TextBody"/>
        <w:bidi w:val="0"/>
        <w:spacing w:before="0" w:after="0"/>
        <w:jc w:val="both"/>
        <w:rPr>
          <w:rFonts w:ascii="Arial Narrow" w:hAnsi="Arial Narrow"/>
          <w:b/>
          <w:color w:val="DE1A1E"/>
          <w:sz w:val="17"/>
        </w:rPr>
      </w:pPr>
      <w:r>
        <w:rPr>
          <w:rFonts w:ascii="Arial Narrow" w:hAnsi="Arial Narrow"/>
          <w:b/>
          <w:color w:val="DE1A1E"/>
          <w:sz w:val="17"/>
        </w:rPr>
        <w:t xml:space="preserve">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DE1A1E"/>
          <w:sz w:val="20"/>
        </w:rPr>
      </w:pPr>
      <w:r>
        <w:rPr>
          <w:rFonts w:ascii="Times New Roman" w:hAnsi="Times New Roman"/>
          <w:b/>
          <w:color w:val="DE1A1E"/>
          <w:sz w:val="20"/>
        </w:rPr>
        <w:t xml:space="preserve">SUBJECT TO COMPLETION, DATED AUGUST 4, 2026 </w:t>
      </w:r>
    </w:p>
    <w:p>
      <w:pPr>
        <w:pStyle w:val="TextBody"/>
        <w:bidi w:val="0"/>
        <w:spacing w:before="240" w:after="0"/>
        <w:ind w:left="960" w:right="960" w:hanging="0"/>
        <w:jc w:val="center"/>
        <w:rPr>
          <w:rFonts w:ascii="Times New Roman" w:hAnsi="Times New Roman"/>
          <w:b/>
          <w:sz w:val="36"/>
        </w:rPr>
      </w:pPr>
      <w:r>
        <w:rPr>
          <w:rFonts w:ascii="Times New Roman" w:hAnsi="Times New Roman"/>
          <w:b/>
          <w:sz w:val="36"/>
        </w:rPr>
        <w:t xml:space="preserve">17,000,000 Shares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2075815" cy="79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75815" cy="793750"/>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both"/>
        <w:rPr>
          <w:rFonts w:ascii="Times New Roman" w:hAnsi="Times New Roman"/>
          <w:sz w:val="20"/>
        </w:rPr>
      </w:pPr>
      <w:r>
        <w:rPr>
          <w:rFonts w:ascii="Times New Roman" w:hAnsi="Times New Roman"/>
          <w:sz w:val="20"/>
        </w:rPr>
        <w:t xml:space="preserve">This is the initial public offering of shares of common stock of Attovia Therapeutics, Inc. </w:t>
      </w:r>
    </w:p>
    <w:p>
      <w:pPr>
        <w:pStyle w:val="TextBody"/>
        <w:bidi w:val="0"/>
        <w:spacing w:before="240" w:after="0"/>
        <w:ind w:left="960" w:right="960" w:hanging="0"/>
        <w:jc w:val="both"/>
        <w:rPr>
          <w:rFonts w:ascii="Times New Roman" w:hAnsi="Times New Roman"/>
          <w:sz w:val="20"/>
        </w:rPr>
      </w:pPr>
      <w:r>
        <w:rPr>
          <w:rFonts w:ascii="Times New Roman" w:hAnsi="Times New Roman"/>
          <w:sz w:val="20"/>
        </w:rPr>
        <w:t xml:space="preserve">We are offering 17,000,000 shares of our common stock. </w:t>
      </w:r>
    </w:p>
    <w:p>
      <w:pPr>
        <w:pStyle w:val="TextBody"/>
        <w:bidi w:val="0"/>
        <w:spacing w:before="240" w:after="0"/>
        <w:ind w:left="960" w:right="960" w:hanging="0"/>
        <w:jc w:val="both"/>
        <w:rPr>
          <w:rFonts w:ascii="Times New Roman" w:hAnsi="Times New Roman"/>
          <w:sz w:val="20"/>
        </w:rPr>
      </w:pPr>
      <w:r>
        <w:rPr>
          <w:rFonts w:ascii="Times New Roman" w:hAnsi="Times New Roman"/>
          <w:sz w:val="20"/>
        </w:rPr>
        <w:t xml:space="preserve">Prior to this offering, there has been no public market for our common stock. It is currently estimated that the initial public offering price will be $17.00 per share. We have applied to list our common stock on the Nasdaq Global Market under the symbol “ATTO,” and this offering is contingent upon obtaining such approval. </w:t>
      </w:r>
    </w:p>
    <w:p>
      <w:pPr>
        <w:pStyle w:val="TextBody"/>
        <w:bidi w:val="0"/>
        <w:spacing w:before="240" w:after="0"/>
        <w:ind w:left="960" w:right="960" w:hanging="0"/>
        <w:jc w:val="both"/>
        <w:rPr>
          <w:rFonts w:ascii="Times New Roman" w:hAnsi="Times New Roman"/>
          <w:sz w:val="20"/>
        </w:rPr>
      </w:pPr>
      <w:r>
        <w:rPr>
          <w:rFonts w:ascii="Times New Roman" w:hAnsi="Times New Roman"/>
          <w:sz w:val="20"/>
        </w:rPr>
        <w:t xml:space="preserve">We are an “emerging growth company” and a “smaller reporting company” as defined under the federal securities laws and, as such, have elected to comply with certain reduced reporting requirements in this prospectus and may elect to do so in future filings.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both"/>
        <w:rPr/>
      </w:pPr>
      <w:r>
        <w:rPr>
          <w:rFonts w:ascii="Times New Roman" w:hAnsi="Times New Roman"/>
          <w:b/>
          <w:sz w:val="20"/>
        </w:rPr>
        <w:t>Investing in our common stock involves a high degree of risk. See the section titled “</w:t>
      </w:r>
      <w:hyperlink w:anchor="tx40469_2">
        <w:r>
          <w:rPr>
            <w:rStyle w:val="InternetLink"/>
            <w:rFonts w:ascii="Times New Roman" w:hAnsi="Times New Roman"/>
            <w:b/>
            <w:sz w:val="20"/>
          </w:rPr>
          <w:t>Risk Factors</w:t>
        </w:r>
      </w:hyperlink>
      <w:r>
        <w:rPr>
          <w:rFonts w:ascii="Times New Roman" w:hAnsi="Times New Roman"/>
          <w:b/>
          <w:sz w:val="20"/>
        </w:rPr>
        <w:t xml:space="preserve">” beginning on page 14 to read about factors you should consider before deciding to invest in shares of our common stock. </w:t>
      </w:r>
    </w:p>
    <w:p>
      <w:pPr>
        <w:pStyle w:val="TextBody"/>
        <w:bidi w:val="0"/>
        <w:spacing w:before="0" w:after="0"/>
        <w:ind w:left="960" w:right="960" w:hanging="0"/>
        <w:jc w:val="left"/>
        <w:rPr/>
      </w:pPr>
      <w:r>
        <w:rPr/>
        <w:t> </w:t>
      </w:r>
    </w:p>
    <w:tbl>
      <w:tblPr>
        <w:tblW w:w="5000" w:type="pct"/>
        <w:jc w:val="center"/>
        <w:tblInd w:w="0" w:type="dxa"/>
        <w:tblLayout w:type="fixed"/>
        <w:tblCellMar>
          <w:top w:w="0" w:type="dxa"/>
          <w:left w:w="0" w:type="dxa"/>
          <w:bottom w:w="0" w:type="dxa"/>
          <w:right w:w="0" w:type="dxa"/>
        </w:tblCellMar>
      </w:tblPr>
      <w:tblGrid>
        <w:gridCol w:w="7056"/>
        <w:gridCol w:w="326"/>
        <w:gridCol w:w="173"/>
        <w:gridCol w:w="999"/>
        <w:gridCol w:w="74"/>
        <w:gridCol w:w="326"/>
        <w:gridCol w:w="172"/>
        <w:gridCol w:w="999"/>
        <w:gridCol w:w="80"/>
      </w:tblGrid>
      <w:tr>
        <w:trPr/>
        <w:tc>
          <w:tcPr>
            <w:tcW w:w="7056"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r>
      <w:tr>
        <w:trPr/>
        <w:tc>
          <w:tcPr>
            <w:tcW w:w="7056"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1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Share</w:t>
            </w:r>
          </w:p>
        </w:tc>
        <w:tc>
          <w:tcPr>
            <w:tcW w:w="74"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1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80" w:type="dxa"/>
            <w:tcBorders/>
            <w:vAlign w:val="bottom"/>
          </w:tcPr>
          <w:p>
            <w:pPr>
              <w:pStyle w:val="TableContents"/>
              <w:bidi w:val="0"/>
              <w:spacing w:before="0" w:after="283"/>
              <w:jc w:val="left"/>
              <w:rPr/>
            </w:pPr>
            <w:r>
              <w:rPr/>
              <w:t> </w:t>
            </w:r>
          </w:p>
        </w:tc>
      </w:tr>
      <w:tr>
        <w:trPr/>
        <w:tc>
          <w:tcPr>
            <w:tcW w:w="7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Initial public offering price</w:t>
            </w:r>
          </w:p>
        </w:tc>
        <w:tc>
          <w:tcPr>
            <w:tcW w:w="326"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999"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999"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7056"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commissions(1)</w:t>
            </w:r>
          </w:p>
        </w:tc>
        <w:tc>
          <w:tcPr>
            <w:tcW w:w="32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 </w:t>
            </w:r>
          </w:p>
        </w:tc>
        <w:tc>
          <w:tcPr>
            <w:tcW w:w="74"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7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Attovia Therapeutics, Inc.</w:t>
            </w:r>
          </w:p>
        </w:tc>
        <w:tc>
          <w:tcPr>
            <w:tcW w:w="326"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999"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999"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ind w:left="960" w:right="960" w:hanging="0"/>
        <w:jc w:val="left"/>
        <w:rPr>
          <w:bdr w:val="single" w:sz="2" w:space="1" w:color="000000"/>
        </w:rPr>
      </w:pPr>
      <w:r>
        <w:rPr>
          <w:bdr w:val="single" w:sz="2" w:space="1" w:color="000000"/>
        </w:rPr>
        <w:t> </w:t>
      </w:r>
    </w:p>
    <w:tbl>
      <w:tblPr>
        <w:tblW w:w="5000" w:type="pct"/>
        <w:jc w:val="left"/>
        <w:tblInd w:w="96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See the section titled “Underwriters” for additional disclosure regarding the underwriting discounts and commissions and estimated offering expenses. The underwriting discounts and commissions set forth above exclude the consulting fees paid to LifeSci Consulting, LLC, an affiliate of LifeSci Capital LLC, unrelated to this offering. </w:t>
            </w:r>
          </w:p>
        </w:tc>
      </w:tr>
    </w:tbl>
    <w:p>
      <w:pPr>
        <w:pStyle w:val="TextBody"/>
        <w:bidi w:val="0"/>
        <w:spacing w:before="240" w:after="0"/>
        <w:ind w:left="960" w:right="960" w:hanging="0"/>
        <w:jc w:val="both"/>
        <w:rPr>
          <w:rFonts w:ascii="Times New Roman" w:hAnsi="Times New Roman"/>
          <w:sz w:val="20"/>
        </w:rPr>
      </w:pPr>
      <w:r>
        <w:rPr>
          <w:rFonts w:ascii="Times New Roman" w:hAnsi="Times New Roman"/>
          <w:sz w:val="20"/>
        </w:rPr>
        <w:t xml:space="preserve">We have granted the underwriters an option for a period of 30 days to purchase up to an additional 2,550,000 shares of our common stock solely to cover over-allotments, if any. </w:t>
      </w:r>
    </w:p>
    <w:p>
      <w:pPr>
        <w:pStyle w:val="TextBody"/>
        <w:bidi w:val="0"/>
        <w:spacing w:before="240" w:after="0"/>
        <w:ind w:left="960" w:right="960" w:hanging="0"/>
        <w:jc w:val="both"/>
        <w:rPr>
          <w:rFonts w:ascii="Times New Roman" w:hAnsi="Times New Roman"/>
          <w:sz w:val="20"/>
        </w:rPr>
      </w:pPr>
      <w:r>
        <w:rPr>
          <w:rFonts w:ascii="Times New Roman" w:hAnsi="Times New Roman"/>
          <w:sz w:val="20"/>
        </w:rPr>
        <w:t xml:space="preserve">The underwriters expect to deliver the shares of common stock to purchasers on     , 2026. </w:t>
      </w:r>
    </w:p>
    <w:p>
      <w:pPr>
        <w:pStyle w:val="TextBody"/>
        <w:bidi w:val="0"/>
        <w:spacing w:before="240" w:after="0"/>
        <w:ind w:left="960" w:right="960" w:hanging="0"/>
        <w:jc w:val="both"/>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accuracy or adequacy of this prospectus.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0" w:after="0"/>
        <w:ind w:left="960" w:right="960" w:hanging="0"/>
        <w:jc w:val="left"/>
        <w:rPr/>
      </w:pPr>
      <w:r>
        <w:rPr/>
        <w:t> </w:t>
      </w:r>
    </w:p>
    <w:tbl>
      <w:tblPr>
        <w:tblW w:w="5000" w:type="pct"/>
        <w:jc w:val="center"/>
        <w:tblInd w:w="0" w:type="dxa"/>
        <w:tblLayout w:type="fixed"/>
        <w:tblCellMar>
          <w:top w:w="0" w:type="dxa"/>
          <w:left w:w="0" w:type="dxa"/>
          <w:bottom w:w="0" w:type="dxa"/>
          <w:right w:w="0" w:type="dxa"/>
        </w:tblCellMar>
      </w:tblPr>
      <w:tblGrid>
        <w:gridCol w:w="2510"/>
        <w:gridCol w:w="186"/>
        <w:gridCol w:w="2463"/>
        <w:gridCol w:w="186"/>
        <w:gridCol w:w="1865"/>
        <w:gridCol w:w="186"/>
        <w:gridCol w:w="2809"/>
      </w:tblGrid>
      <w:tr>
        <w:trPr/>
        <w:tc>
          <w:tcPr>
            <w:tcW w:w="2510"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2809" w:type="dxa"/>
            <w:tcBorders/>
            <w:vAlign w:val="center"/>
          </w:tcPr>
          <w:p>
            <w:pPr>
              <w:pStyle w:val="TableContents"/>
              <w:bidi w:val="0"/>
              <w:spacing w:before="0" w:after="283"/>
              <w:jc w:val="left"/>
              <w:rPr>
                <w:sz w:val="4"/>
                <w:szCs w:val="4"/>
              </w:rPr>
            </w:pPr>
            <w:r>
              <w:rPr>
                <w:sz w:val="4"/>
                <w:szCs w:val="4"/>
              </w:rPr>
            </w:r>
          </w:p>
        </w:tc>
      </w:tr>
      <w:tr>
        <w:trPr/>
        <w:tc>
          <w:tcPr>
            <w:tcW w:w="2510" w:type="dxa"/>
            <w:tcBorders/>
          </w:tcPr>
          <w:p>
            <w:pPr>
              <w:pStyle w:val="TableContents"/>
              <w:bidi w:val="0"/>
              <w:spacing w:before="0" w:after="283"/>
              <w:jc w:val="left"/>
              <w:rPr>
                <w:b/>
              </w:rPr>
            </w:pPr>
            <w:r>
              <w:rPr>
                <w:b/>
              </w:rPr>
              <w:t>Morgan Stanley</w:t>
            </w:r>
          </w:p>
        </w:tc>
        <w:tc>
          <w:tcPr>
            <w:tcW w:w="186" w:type="dxa"/>
            <w:tcBorders/>
            <w:vAlign w:val="bottom"/>
          </w:tcPr>
          <w:p>
            <w:pPr>
              <w:pStyle w:val="TableContents"/>
              <w:bidi w:val="0"/>
              <w:spacing w:before="0" w:after="283"/>
              <w:jc w:val="left"/>
              <w:rPr/>
            </w:pPr>
            <w:r>
              <w:rPr/>
              <w:t>  </w:t>
            </w:r>
          </w:p>
        </w:tc>
        <w:tc>
          <w:tcPr>
            <w:tcW w:w="2463" w:type="dxa"/>
            <w:tcBorders/>
          </w:tcPr>
          <w:p>
            <w:pPr>
              <w:pStyle w:val="TableContents"/>
              <w:bidi w:val="0"/>
              <w:spacing w:before="0" w:after="283"/>
              <w:jc w:val="center"/>
              <w:rPr>
                <w:b/>
              </w:rPr>
            </w:pPr>
            <w:r>
              <w:rPr>
                <w:b/>
              </w:rPr>
              <w:t>Leerink Partners</w:t>
            </w:r>
          </w:p>
        </w:tc>
        <w:tc>
          <w:tcPr>
            <w:tcW w:w="186" w:type="dxa"/>
            <w:tcBorders/>
            <w:vAlign w:val="bottom"/>
          </w:tcPr>
          <w:p>
            <w:pPr>
              <w:pStyle w:val="TableContents"/>
              <w:bidi w:val="0"/>
              <w:spacing w:before="0" w:after="283"/>
              <w:jc w:val="left"/>
              <w:rPr/>
            </w:pPr>
            <w:r>
              <w:rPr/>
              <w:t>  </w:t>
            </w:r>
          </w:p>
        </w:tc>
        <w:tc>
          <w:tcPr>
            <w:tcW w:w="1865" w:type="dxa"/>
            <w:tcBorders/>
          </w:tcPr>
          <w:p>
            <w:pPr>
              <w:pStyle w:val="TableContents"/>
              <w:bidi w:val="0"/>
              <w:spacing w:before="0" w:after="283"/>
              <w:jc w:val="center"/>
              <w:rPr>
                <w:b/>
              </w:rPr>
            </w:pPr>
            <w:r>
              <w:rPr>
                <w:b/>
              </w:rPr>
              <w:t>Citigroup</w:t>
            </w:r>
          </w:p>
        </w:tc>
        <w:tc>
          <w:tcPr>
            <w:tcW w:w="186" w:type="dxa"/>
            <w:tcBorders/>
            <w:vAlign w:val="bottom"/>
          </w:tcPr>
          <w:p>
            <w:pPr>
              <w:pStyle w:val="TableContents"/>
              <w:bidi w:val="0"/>
              <w:spacing w:before="0" w:after="283"/>
              <w:jc w:val="left"/>
              <w:rPr/>
            </w:pPr>
            <w:r>
              <w:rPr/>
              <w:t>  </w:t>
            </w:r>
          </w:p>
        </w:tc>
        <w:tc>
          <w:tcPr>
            <w:tcW w:w="2809" w:type="dxa"/>
            <w:tcBorders/>
          </w:tcPr>
          <w:p>
            <w:pPr>
              <w:pStyle w:val="TableContents"/>
              <w:bidi w:val="0"/>
              <w:spacing w:before="0" w:after="283"/>
              <w:jc w:val="right"/>
              <w:rPr>
                <w:b/>
              </w:rPr>
            </w:pPr>
            <w:r>
              <w:rPr>
                <w:b/>
              </w:rPr>
              <w:t>RBC Capital Markets</w:t>
            </w:r>
          </w:p>
        </w:tc>
      </w:tr>
    </w:tbl>
    <w:p>
      <w:pPr>
        <w:pStyle w:val="TextBody"/>
        <w:bidi w:val="0"/>
        <w:spacing w:before="360" w:after="0"/>
        <w:ind w:left="960" w:right="960" w:hanging="0"/>
        <w:jc w:val="center"/>
        <w:rPr>
          <w:rFonts w:ascii="Times New Roman" w:hAnsi="Times New Roman"/>
          <w:b/>
          <w:sz w:val="24"/>
        </w:rPr>
      </w:pPr>
      <w:r>
        <w:rPr>
          <w:rFonts w:ascii="Times New Roman" w:hAnsi="Times New Roman"/>
          <w:b/>
          <w:sz w:val="24"/>
        </w:rPr>
        <w:t xml:space="preserve">LifeSci Capital </w:t>
      </w:r>
    </w:p>
    <w:p>
      <w:pPr>
        <w:pStyle w:val="TextBody"/>
        <w:bidi w:val="0"/>
        <w:spacing w:before="360" w:after="0"/>
        <w:ind w:left="960" w:right="960" w:hanging="0"/>
        <w:jc w:val="center"/>
        <w:rPr/>
      </w:pPr>
      <w:r>
        <w:rPr/>
        <w:t>   </w:t>
      </w:r>
      <w:r>
        <w:rPr>
          <w:rFonts w:ascii="Times New Roman" w:hAnsi="Times New Roman"/>
          <w:sz w:val="20"/>
        </w:rPr>
        <w:t xml:space="preserve">,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3110230" cy="5200015"/>
                <wp:effectExtent l="0" t="0" r="0" b="0"/>
                <wp:wrapSquare wrapText="right"/>
                <wp:docPr id="2" name="Frame1"/>
                <a:graphic xmlns:a="http://schemas.openxmlformats.org/drawingml/2006/main">
                  <a:graphicData uri="http://schemas.microsoft.com/office/word/2010/wordprocessingShape">
                    <wps:wsp>
                      <wps:cNvSpPr txBox="1"/>
                      <wps:spPr>
                        <a:xfrm>
                          <a:off x="0" y="0"/>
                          <a:ext cx="3110230" cy="5200015"/>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4392"/>
                              <w:gridCol w:w="197"/>
                              <w:gridCol w:w="33"/>
                              <w:gridCol w:w="247"/>
                              <w:gridCol w:w="29"/>
                            </w:tblGrid>
                            <w:tr>
                              <w:trPr/>
                              <w:tc>
                                <w:tcPr>
                                  <w:tcW w:w="4392"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r>
                            <w:tr>
                              <w:trPr/>
                              <w:tc>
                                <w:tcPr>
                                  <w:tcW w:w="439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x40469_1">
                                    <w:r>
                                      <w:rPr>
                                        <w:rStyle w:val="InternetLink"/>
                                        <w:rFonts w:ascii="Times New Roman" w:hAnsi="Times New Roman"/>
                                        <w:sz w:val="20"/>
                                      </w:rPr>
                                      <w:t>Prospectus Summary</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x40469_2">
                                    <w:r>
                                      <w:rPr>
                                        <w:rStyle w:val="InternetLink"/>
                                        <w:rFonts w:ascii="Times New Roman" w:hAnsi="Times New Roman"/>
                                        <w:sz w:val="20"/>
                                      </w:rPr>
                                      <w:t>Risk Factors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14</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x40469_3">
                                    <w:r>
                                      <w:rPr>
                                        <w:rStyle w:val="InternetLink"/>
                                        <w:rFonts w:ascii="Times New Roman" w:hAnsi="Times New Roman"/>
                                        <w:sz w:val="20"/>
                                      </w:rPr>
                                      <w:t>Special Note Regarding Forward-Looking Statements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78</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x40469_4">
                                    <w:r>
                                      <w:rPr>
                                        <w:rStyle w:val="InternetLink"/>
                                        <w:rFonts w:ascii="Times New Roman" w:hAnsi="Times New Roman"/>
                                        <w:sz w:val="20"/>
                                      </w:rPr>
                                      <w:t>Market and Industry Data</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80</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x40469_5">
                                    <w:r>
                                      <w:rPr>
                                        <w:rStyle w:val="InternetLink"/>
                                        <w:rFonts w:ascii="Times New Roman" w:hAnsi="Times New Roman"/>
                                        <w:sz w:val="20"/>
                                      </w:rPr>
                                      <w:t>Use of Proceeds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81</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x40469_6">
                                    <w:r>
                                      <w:rPr>
                                        <w:rStyle w:val="InternetLink"/>
                                        <w:rFonts w:ascii="Times New Roman" w:hAnsi="Times New Roman"/>
                                        <w:sz w:val="20"/>
                                      </w:rPr>
                                      <w:t>Dividend Policy</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83</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x40469_7">
                                    <w:r>
                                      <w:rPr>
                                        <w:rStyle w:val="InternetLink"/>
                                        <w:rFonts w:ascii="Times New Roman" w:hAnsi="Times New Roman"/>
                                        <w:sz w:val="20"/>
                                      </w:rPr>
                                      <w:t>Capitalization</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84</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x40469_8">
                                    <w:r>
                                      <w:rPr>
                                        <w:rStyle w:val="InternetLink"/>
                                        <w:rFonts w:ascii="Times New Roman" w:hAnsi="Times New Roman"/>
                                        <w:sz w:val="20"/>
                                      </w:rPr>
                                      <w:t>Dilution</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86</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x40469_9">
                                    <w:r>
                                      <w:rPr>
                                        <w:rStyle w:val="InternetLink"/>
                                        <w:rFonts w:ascii="Times New Roman" w:hAnsi="Times New Roman"/>
                                        <w:sz w:val="20"/>
                                      </w:rPr>
                                      <w:t>Management’s Discussion and Analysis of Financial Condition and Results of Operations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89</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x40469_10">
                                    <w:r>
                                      <w:rPr>
                                        <w:rStyle w:val="InternetLink"/>
                                        <w:rFonts w:ascii="Times New Roman" w:hAnsi="Times New Roman"/>
                                        <w:sz w:val="20"/>
                                      </w:rPr>
                                      <w:t>Business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109</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x40469_11">
                                    <w:r>
                                      <w:rPr>
                                        <w:rStyle w:val="InternetLink"/>
                                        <w:rFonts w:ascii="Times New Roman" w:hAnsi="Times New Roman"/>
                                        <w:sz w:val="20"/>
                                      </w:rPr>
                                      <w:t>Management</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171</w:t>
                                  </w:r>
                                </w:p>
                              </w:tc>
                              <w:tc>
                                <w:tcPr>
                                  <w:tcW w:w="29"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09.4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4392"/>
                        <w:gridCol w:w="197"/>
                        <w:gridCol w:w="33"/>
                        <w:gridCol w:w="247"/>
                        <w:gridCol w:w="29"/>
                      </w:tblGrid>
                      <w:tr>
                        <w:trPr/>
                        <w:tc>
                          <w:tcPr>
                            <w:tcW w:w="4392"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r>
                      <w:tr>
                        <w:trPr/>
                        <w:tc>
                          <w:tcPr>
                            <w:tcW w:w="439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x40469_1">
                              <w:r>
                                <w:rPr>
                                  <w:rStyle w:val="InternetLink"/>
                                  <w:rFonts w:ascii="Times New Roman" w:hAnsi="Times New Roman"/>
                                  <w:sz w:val="20"/>
                                </w:rPr>
                                <w:t>Prospectus Summary</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x40469_2">
                              <w:r>
                                <w:rPr>
                                  <w:rStyle w:val="InternetLink"/>
                                  <w:rFonts w:ascii="Times New Roman" w:hAnsi="Times New Roman"/>
                                  <w:sz w:val="20"/>
                                </w:rPr>
                                <w:t>Risk Factors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14</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x40469_3">
                              <w:r>
                                <w:rPr>
                                  <w:rStyle w:val="InternetLink"/>
                                  <w:rFonts w:ascii="Times New Roman" w:hAnsi="Times New Roman"/>
                                  <w:sz w:val="20"/>
                                </w:rPr>
                                <w:t>Special Note Regarding Forward-Looking Statements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78</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x40469_4">
                              <w:r>
                                <w:rPr>
                                  <w:rStyle w:val="InternetLink"/>
                                  <w:rFonts w:ascii="Times New Roman" w:hAnsi="Times New Roman"/>
                                  <w:sz w:val="20"/>
                                </w:rPr>
                                <w:t>Market and Industry Data</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80</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x40469_5">
                              <w:r>
                                <w:rPr>
                                  <w:rStyle w:val="InternetLink"/>
                                  <w:rFonts w:ascii="Times New Roman" w:hAnsi="Times New Roman"/>
                                  <w:sz w:val="20"/>
                                </w:rPr>
                                <w:t>Use of Proceeds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81</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x40469_6">
                              <w:r>
                                <w:rPr>
                                  <w:rStyle w:val="InternetLink"/>
                                  <w:rFonts w:ascii="Times New Roman" w:hAnsi="Times New Roman"/>
                                  <w:sz w:val="20"/>
                                </w:rPr>
                                <w:t>Dividend Policy</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83</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x40469_7">
                              <w:r>
                                <w:rPr>
                                  <w:rStyle w:val="InternetLink"/>
                                  <w:rFonts w:ascii="Times New Roman" w:hAnsi="Times New Roman"/>
                                  <w:sz w:val="20"/>
                                </w:rPr>
                                <w:t>Capitalization</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84</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x40469_8">
                              <w:r>
                                <w:rPr>
                                  <w:rStyle w:val="InternetLink"/>
                                  <w:rFonts w:ascii="Times New Roman" w:hAnsi="Times New Roman"/>
                                  <w:sz w:val="20"/>
                                </w:rPr>
                                <w:t>Dilution</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86</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x40469_9">
                              <w:r>
                                <w:rPr>
                                  <w:rStyle w:val="InternetLink"/>
                                  <w:rFonts w:ascii="Times New Roman" w:hAnsi="Times New Roman"/>
                                  <w:sz w:val="20"/>
                                </w:rPr>
                                <w:t>Management’s Discussion and Analysis of Financial Condition and Results of Operations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89</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x40469_10">
                              <w:r>
                                <w:rPr>
                                  <w:rStyle w:val="InternetLink"/>
                                  <w:rFonts w:ascii="Times New Roman" w:hAnsi="Times New Roman"/>
                                  <w:sz w:val="20"/>
                                </w:rPr>
                                <w:t>Business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109</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tx40469_11">
                              <w:r>
                                <w:rPr>
                                  <w:rStyle w:val="InternetLink"/>
                                  <w:rFonts w:ascii="Times New Roman" w:hAnsi="Times New Roman"/>
                                  <w:sz w:val="20"/>
                                </w:rPr>
                                <w:t>Management</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171</w:t>
                            </w:r>
                          </w:p>
                        </w:tc>
                        <w:tc>
                          <w:tcPr>
                            <w:tcW w:w="29"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3175000" cy="6777355"/>
                <wp:effectExtent l="0" t="0" r="0" b="0"/>
                <wp:wrapSquare wrapText="right"/>
                <wp:docPr id="3" name="Frame2"/>
                <a:graphic xmlns:a="http://schemas.openxmlformats.org/drawingml/2006/main">
                  <a:graphicData uri="http://schemas.microsoft.com/office/word/2010/wordprocessingShape">
                    <wps:wsp>
                      <wps:cNvSpPr txBox="1"/>
                      <wps:spPr>
                        <a:xfrm>
                          <a:off x="0" y="0"/>
                          <a:ext cx="3175000" cy="6777355"/>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4483"/>
                              <w:gridCol w:w="201"/>
                              <w:gridCol w:w="34"/>
                              <w:gridCol w:w="252"/>
                              <w:gridCol w:w="30"/>
                            </w:tblGrid>
                            <w:tr>
                              <w:trPr/>
                              <w:tc>
                                <w:tcPr>
                                  <w:tcW w:w="4483"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48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x40469_12">
                                    <w:r>
                                      <w:rPr>
                                        <w:rStyle w:val="InternetLink"/>
                                        <w:rFonts w:ascii="Times New Roman" w:hAnsi="Times New Roman"/>
                                        <w:sz w:val="20"/>
                                      </w:rPr>
                                      <w:t>Executive Compensation</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181</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x40469_13">
                                    <w:r>
                                      <w:rPr>
                                        <w:rStyle w:val="InternetLink"/>
                                        <w:rFonts w:ascii="Times New Roman" w:hAnsi="Times New Roman"/>
                                        <w:sz w:val="20"/>
                                      </w:rPr>
                                      <w:t>Certain Relationships and Related Party Transactions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196</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x40469_14">
                                    <w:r>
                                      <w:rPr>
                                        <w:rStyle w:val="InternetLink"/>
                                        <w:rFonts w:ascii="Times New Roman" w:hAnsi="Times New Roman"/>
                                        <w:sz w:val="20"/>
                                      </w:rPr>
                                      <w:t>Principal Stockholders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200</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x40469_15">
                                    <w:r>
                                      <w:rPr>
                                        <w:rStyle w:val="InternetLink"/>
                                        <w:rFonts w:ascii="Times New Roman" w:hAnsi="Times New Roman"/>
                                        <w:sz w:val="20"/>
                                      </w:rPr>
                                      <w:t>Description of Capital Stock</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202</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x40469_16">
                                    <w:r>
                                      <w:rPr>
                                        <w:rStyle w:val="InternetLink"/>
                                        <w:rFonts w:ascii="Times New Roman" w:hAnsi="Times New Roman"/>
                                        <w:sz w:val="20"/>
                                      </w:rPr>
                                      <w:t>Shares Eligible for Future Sale</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209</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x40469_17">
                                    <w:r>
                                      <w:rPr>
                                        <w:rStyle w:val="InternetLink"/>
                                        <w:rFonts w:ascii="Times New Roman" w:hAnsi="Times New Roman"/>
                                        <w:sz w:val="20"/>
                                      </w:rPr>
                                      <w:t>Material U.S. Federal Income Tax Consequences to Non-U.S. Holders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212</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x40469_18">
                                    <w:r>
                                      <w:rPr>
                                        <w:rStyle w:val="InternetLink"/>
                                        <w:rFonts w:ascii="Times New Roman" w:hAnsi="Times New Roman"/>
                                        <w:sz w:val="20"/>
                                      </w:rPr>
                                      <w:t>Underwriters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217</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x40469_19">
                                    <w:r>
                                      <w:rPr>
                                        <w:rStyle w:val="InternetLink"/>
                                        <w:rFonts w:ascii="Times New Roman" w:hAnsi="Times New Roman"/>
                                        <w:sz w:val="20"/>
                                      </w:rPr>
                                      <w:t>Legal Matters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227</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x40469_20">
                                    <w:r>
                                      <w:rPr>
                                        <w:rStyle w:val="InternetLink"/>
                                        <w:rFonts w:ascii="Times New Roman" w:hAnsi="Times New Roman"/>
                                        <w:sz w:val="20"/>
                                      </w:rPr>
                                      <w:t>Experts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227</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x40469_21">
                                    <w:r>
                                      <w:rPr>
                                        <w:rStyle w:val="InternetLink"/>
                                        <w:rFonts w:ascii="Times New Roman" w:hAnsi="Times New Roman"/>
                                        <w:sz w:val="20"/>
                                      </w:rPr>
                                      <w:t>Where You Can Find Additional Information</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227</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x40469_22">
                                    <w:r>
                                      <w:rPr>
                                        <w:rStyle w:val="InternetLink"/>
                                        <w:rFonts w:ascii="Times New Roman" w:hAnsi="Times New Roman"/>
                                        <w:sz w:val="20"/>
                                      </w:rPr>
                                      <w:t>Index to Consolidated Financial Statements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F-1</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33.6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4483"/>
                        <w:gridCol w:w="201"/>
                        <w:gridCol w:w="34"/>
                        <w:gridCol w:w="252"/>
                        <w:gridCol w:w="30"/>
                      </w:tblGrid>
                      <w:tr>
                        <w:trPr/>
                        <w:tc>
                          <w:tcPr>
                            <w:tcW w:w="4483"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48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x40469_12">
                              <w:r>
                                <w:rPr>
                                  <w:rStyle w:val="InternetLink"/>
                                  <w:rFonts w:ascii="Times New Roman" w:hAnsi="Times New Roman"/>
                                  <w:sz w:val="20"/>
                                </w:rPr>
                                <w:t>Executive Compensation</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181</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x40469_13">
                              <w:r>
                                <w:rPr>
                                  <w:rStyle w:val="InternetLink"/>
                                  <w:rFonts w:ascii="Times New Roman" w:hAnsi="Times New Roman"/>
                                  <w:sz w:val="20"/>
                                </w:rPr>
                                <w:t>Certain Relationships and Related Party Transactions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196</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x40469_14">
                              <w:r>
                                <w:rPr>
                                  <w:rStyle w:val="InternetLink"/>
                                  <w:rFonts w:ascii="Times New Roman" w:hAnsi="Times New Roman"/>
                                  <w:sz w:val="20"/>
                                </w:rPr>
                                <w:t>Principal Stockholders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200</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x40469_15">
                              <w:r>
                                <w:rPr>
                                  <w:rStyle w:val="InternetLink"/>
                                  <w:rFonts w:ascii="Times New Roman" w:hAnsi="Times New Roman"/>
                                  <w:sz w:val="20"/>
                                </w:rPr>
                                <w:t>Description of Capital Stock</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202</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x40469_16">
                              <w:r>
                                <w:rPr>
                                  <w:rStyle w:val="InternetLink"/>
                                  <w:rFonts w:ascii="Times New Roman" w:hAnsi="Times New Roman"/>
                                  <w:sz w:val="20"/>
                                </w:rPr>
                                <w:t>Shares Eligible for Future Sale</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209</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x40469_17">
                              <w:r>
                                <w:rPr>
                                  <w:rStyle w:val="InternetLink"/>
                                  <w:rFonts w:ascii="Times New Roman" w:hAnsi="Times New Roman"/>
                                  <w:sz w:val="20"/>
                                </w:rPr>
                                <w:t>Material U.S. Federal Income Tax Consequences to Non-U.S. Holders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212</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x40469_18">
                              <w:r>
                                <w:rPr>
                                  <w:rStyle w:val="InternetLink"/>
                                  <w:rFonts w:ascii="Times New Roman" w:hAnsi="Times New Roman"/>
                                  <w:sz w:val="20"/>
                                </w:rPr>
                                <w:t>Underwriters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217</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x40469_19">
                              <w:r>
                                <w:rPr>
                                  <w:rStyle w:val="InternetLink"/>
                                  <w:rFonts w:ascii="Times New Roman" w:hAnsi="Times New Roman"/>
                                  <w:sz w:val="20"/>
                                </w:rPr>
                                <w:t>Legal Matters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227</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x40469_20">
                              <w:r>
                                <w:rPr>
                                  <w:rStyle w:val="InternetLink"/>
                                  <w:rFonts w:ascii="Times New Roman" w:hAnsi="Times New Roman"/>
                                  <w:sz w:val="20"/>
                                </w:rPr>
                                <w:t>Experts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227</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x40469_21">
                              <w:r>
                                <w:rPr>
                                  <w:rStyle w:val="InternetLink"/>
                                  <w:rFonts w:ascii="Times New Roman" w:hAnsi="Times New Roman"/>
                                  <w:sz w:val="20"/>
                                </w:rPr>
                                <w:t>Where You Can Find Additional Information</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227</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tx40469_22">
                              <w:r>
                                <w:rPr>
                                  <w:rStyle w:val="InternetLink"/>
                                  <w:rFonts w:ascii="Times New Roman" w:hAnsi="Times New Roman"/>
                                  <w:sz w:val="20"/>
                                </w:rPr>
                                <w:t>Index to Consolidated Financial Statements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F-1</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both"/>
        <w:rPr>
          <w:rFonts w:ascii="Times New Roman" w:hAnsi="Times New Roman"/>
          <w:b/>
          <w:sz w:val="20"/>
        </w:rPr>
      </w:pPr>
      <w:r>
        <w:rPr>
          <w:rFonts w:ascii="Times New Roman" w:hAnsi="Times New Roman"/>
          <w:b/>
          <w:sz w:val="20"/>
        </w:rPr>
        <w:t xml:space="preserve">Through and including     , 2026 (the 25th day after the date of this prospectus), all dealers that buy, sell or trade shares of our common stock, whether or not participating in this offering, may be required to deliver a prospectus. This delivery requirement is in addition to the dealer’s obligation to deliver a prospectus when acting as an underwriter and with respect to an unsold allotment or subscription. </w:t>
      </w:r>
    </w:p>
    <w:p>
      <w:pPr>
        <w:pStyle w:val="TextBody"/>
        <w:bidi w:val="0"/>
        <w:spacing w:before="240" w:after="0"/>
        <w:jc w:val="both"/>
        <w:rPr>
          <w:rFonts w:ascii="Times New Roman" w:hAnsi="Times New Roman"/>
          <w:sz w:val="20"/>
        </w:rPr>
      </w:pPr>
      <w:r>
        <w:rPr>
          <w:rFonts w:ascii="Times New Roman" w:hAnsi="Times New Roman"/>
          <w:sz w:val="20"/>
        </w:rPr>
        <w:t xml:space="preserve">Neither we nor the underwriters have authorized anyone to provide any information or to make any representations other than those contained in this prospectus or in any free writing prospectuses prepared by or on behalf of us or to which we have referred you. We and the underwriters do not take responsibility for, and can provide no assurance as to the reliability of, any other information that others may give you. This prospectus is an offer to sell only the shares of our common stock offered hereby, but only under circumstances and in jurisdictions where it is lawful to do so. The information contained in this prospectus or in any applicable free writing prospectus is current only as of its date, regardless of its time of delivery or the time of any sale of shares of our common stock. Our business, financial condition, results of operations and prospects may have changed since that date. </w:t>
      </w:r>
    </w:p>
    <w:p>
      <w:pPr>
        <w:pStyle w:val="TextBody"/>
        <w:bidi w:val="0"/>
        <w:spacing w:before="240" w:after="0"/>
        <w:jc w:val="both"/>
        <w:rPr>
          <w:rFonts w:ascii="Times New Roman" w:hAnsi="Times New Roman"/>
          <w:sz w:val="20"/>
        </w:rPr>
      </w:pPr>
      <w:r>
        <w:rPr>
          <w:rFonts w:ascii="Times New Roman" w:hAnsi="Times New Roman"/>
          <w:sz w:val="20"/>
        </w:rPr>
        <w:t xml:space="preserve">For investors outside of the United States: Neither we nor any of the underwriters have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our common stock and the distribution of this prospectus outside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3" w:name="tx40469_1"/>
      <w:bookmarkEnd w:id="3"/>
      <w:r>
        <w:rPr>
          <w:rFonts w:ascii="Times New Roman" w:hAnsi="Times New Roman"/>
          <w:b/>
          <w:sz w:val="20"/>
          <w:bdr w:val="single" w:sz="8" w:space="1" w:color="000000"/>
        </w:rPr>
        <w:t xml:space="preserve">PROSPECTUS SUMMARY </w:t>
      </w:r>
    </w:p>
    <w:p>
      <w:pPr>
        <w:pStyle w:val="TextBody"/>
        <w:bidi w:val="0"/>
        <w:spacing w:before="240" w:after="0"/>
        <w:jc w:val="both"/>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in this prospectus and does not contain all of the information that you should consider in making your investment decision. Before investing in our common stock, you should carefully read this entire prospectus, including our audited consolidated financial statements and the related notes, our unaudited interim condensed consolidated financial statements and the related notes and the other information set forth under the sections titled “Risk Factors” and “Management’s Discussion and Analysis of Financial Condition and Results of Operations,” in each case included in this prospectus. Some of the statements in this prospectus constitute forward-looking statements that involve risks and uncertainties. See the section titled “Special Note Regarding Forward-Looking Statements” for additional information. Unless the context otherwise requires, we use the terms “Attovia Therapeutics, Inc.,” “Attovia,” the “Company,” “we,” “us” and “our” in this prospectus to refer to Attovia Therapeutics, Inc.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biopharmaceutical company developing next-generation biotherapeutics for immune-mediated diseases with high unmet need. Our lead pipeline candidates target commercially validated pathways and are designed through our ATTOBODY biologics platform to deliver improved treatments relative to the current standards of care. Leveraging our ATTOBODY platform, we have nominated three product candidates within our first two years, including one currently in the clinic, ATTO-1310. ATTO-1310 is an ATTOBODY-based therapeutic targeting interleukin-31 (IL-31) that completed dosing in a Phase 1 clinical trial in healthy volunteers (HVs) and patients in the first quarter of 2026. ATTO-2306 is an ATTOBODY-based bispecific targeting interleukin-13 (IL-13) and IL-31 that is in investigational new drug (IND)-enabling studies, and we expect to commence a Phase 1 clinical trial in the first half of 2027. Lastly, ATTO-1091 is our trispecific ATTOBODY-based Fc fusion protein that is designed to block TL1A, IL-23 and integrin </w:t>
      </w:r>
      <w:r>
        <w:rPr>
          <w:rFonts w:ascii="SYMBOL" w:hAnsi="SYMBOL"/>
          <w:sz w:val="20"/>
          <w:bdr w:val="single" w:sz="8" w:space="1" w:color="000000"/>
        </w:rPr>
        <w:t>a</w:t>
      </w:r>
      <w:r>
        <w:rPr>
          <w:rFonts w:ascii="Times New Roman" w:hAnsi="Times New Roman"/>
          <w:sz w:val="20"/>
          <w:bdr w:val="single" w:sz="8" w:space="1" w:color="000000"/>
        </w:rPr>
        <w:t xml:space="preserve">4ß7 simultaneously, and is currently in IND-enabling studies.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All of our product candidates have been internally discovered using our ATTOBODY biparatopic biologics platform, which we have in-licensed from Alamar Biosciences, Inc. (Alamar). Our ATTOBODY platform uses an evolution-driven, high-throughput process which allows for rapid discovery and creation of a high diversity of potential product candidates. Our initial focus for ATTOBODIES has been to develop novel biotherapeutics targeting highly synergistic, clinically and commercially validated pathways where early data indicates the potential of our candidates to deliver next-generation treatments relative to the current standards of care. Our early-stage discovery efforts have further expanded our pipeline to additional complex biologics, including conditional “AND” gate bispecifics directed against novel targets, which are historically difficult to develop with conventional antibody technology.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ATTO-1310 is a novel ATTOBODY-based Fc-fusion protein therapeutic that inhibits IL-31 and is currently in a Phase 1 clinical trial in HVs and patients suffering from chronic pruritus and high-itch atopic dermatitis (AD). IL-31 is commonly known as the “itch cytokine” and is upregulated in a host of pruritic diseases. We plan to evaluate ATTO-1310 for the treatment of chronic pruritic diseases such as chronic pruritus of unknown origin (CPUO), high-itch AD, cholestatic pruritus in primary biliary cholangitis (PBC) and primary sclerosing cholangitis (PSC) and chronic kidney disease-associated pruritus (CKD-aP), also known as uremic pruritus, in subsequent clinical trials. Beyond individual diseases, we also intend to pursue a potential pan-pruritic disease regulatory development path for patients with elevated levels of IL-31. Our initial clinical data demonstrated that ATTO-1310 has been well tolerated with low immunogenicity and pharmacokinetic (PK) and target engagement data supporting the possibility of an extended dosing regimen in human patients. Initial data from our Phase 1b clinical trial of ATTO-1310 in patients with chronic pruritus and high-itch AD showed rapid, deep itch relief in both patient populations and consistent lesion control for patients with high-itch AD. We believe ATTO-1310 has the potential to offer patients fast and deep itch relief, a favorable tolerability profile and convenient subcutaneous (SC) dosing once every three months.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ATTO-2306 is an ATTOBODY-based, half-life extended, immunoglobulin-G (IgG)-fusion protein therapeutic that inhibits IL-13 and IL-31. IL-13 and IL-31 reside in the only two clinically and commercially validated pathways in AD, and we believe that blocking them in a bispecific format offers a novel approach and a high likelihood of achieving differentiated treatment effect and extended dosing by avoiding the reverse dose-efficacy effect seen for IL-31R</w:t>
      </w:r>
      <w:r>
        <w:rPr>
          <w:rFonts w:ascii="SYMBOL" w:hAnsi="SYMBOL"/>
          <w:sz w:val="20"/>
          <w:bdr w:val="single" w:sz="8" w:space="1" w:color="000000"/>
        </w:rPr>
        <w:t>a</w:t>
      </w:r>
      <w:r>
        <w:rPr>
          <w:rFonts w:ascii="Times New Roman" w:hAnsi="Times New Roman"/>
          <w:sz w:val="20"/>
          <w:bdr w:val="single" w:sz="8" w:space="1" w:color="000000"/>
        </w:rPr>
        <w:t xml:space="preserve"> and the target-mediated drug disposition (TMDD) observed in treatments targeting IL-4Rα. We believe ATTO-2306 has the potential to provide a new standard of care for the treatment of AD and other immune-mediated skin diseases, such as chronic spontaneous urticaria (CSU) and prurigo nodularis (PN), by offering favorable lesion and itch control, as well as significantly improved convenience compared to currently available treatments. Independent third-party market research studies1 commissioned by us estimated that by 2035 AD will affect 21 million adults and 10 million pediatric patients in the United States, with approximately one-third of AD patients having moderate-to-severe disease. We expect to commence a Phase 1 clinical trial for ATTO-2306 in the first half of 2027.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ATTO-1091 is a trispecific ATTOBODY-based Fc-fusion protein therapeutic that inhibits TL1A, IL-23 and integrin α4ß7, and is currently undergoing IND-enabling studies. TL1A, IL-23 and integrin α4ß7 all play distinct roles in inflammatory bowel disease (IBD) pathophysiology, contributing to inflammation and fibrosis in the gut and intestinal tissue. We believe that ATTO-1091 has the potential to improve upon existing induction and maintenance therapies for IBD by inhibiting three clinically validated pathways with preserved binding affinity and potency of each individual arm in the trispecific format. We plan to initiate a Phase 1 clinical trial for ATTO-1091 in the first half of 2027, subject to IND clearance.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Pipeline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are developing a pipeline of novel biotherapeutics for the treatment of immune-mediated diseases. Our first two product candidates for our immune-dermatology franchise, ATTO-1310 and ATTO-2306, have broad potential to treat patients suffering from pruritic and lesional diseases. Our third program, ATTO-1091, broadens our reach to other inflammatory diseases such as IBD, a therapeutic area with substantial unmet need.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53100" cy="277050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5753100" cy="2770505"/>
                    </a:xfrm>
                    <a:prstGeom prst="rect">
                      <a:avLst/>
                    </a:prstGeom>
                  </pic:spPr>
                </pic:pic>
              </a:graphicData>
            </a:graphic>
          </wp:inline>
        </w:drawing>
      </w:r>
      <w:r>
        <w:rPr>
          <w:bdr w:val="single" w:sz="8" w:space="1" w:color="000000"/>
        </w:rPr>
        <w:t xml:space="preserve">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Beyond the initial monospecific and multispecific applications of our ATTOBODY platform, we are exploring the development of therapeutics aimed at novel and exploratory targets and pursuing conditional “AND” gate and tetraspecific formats. A conditional “AND” gate bispecific is a molecule in which one of the arms engages its target and imparts its action only when the second arm binds to its target.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Based on reports we commissioned by LifeSci Consulting, an affiliate of LifeSci Capital LLC, in 2025 and 2026 (the LifeSci Reports).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ATTOBODY Platform and Discovery Capabilities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Our ATTOBODY platform is designed to create highly potent monospecifics, complex biologics, including multispecifics and conditional “AND” gated bispecifics, as well as other formats. ATTOBODY-based biologics are characterized by tunable affinity with the ability to achieve high potency, a high degree of modularity, precision design, infrequent dosing and robustness on par with IgG-based antibody biologics.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Each ATTOBODY consists of two heavy-chain antibody variable region domains (also known as VHHs or nanobodies) connected with a proprietary peptide-based linker, with the VHHs targeting two different epitopes on a target molecule in what is known as biparatopic binding. VHHs are a form of antibody naturally produced by camelids and other species, which can provide an attractive alternative to IgG-based biotherapeutics. The ATTOBODY platform uses an evolution-driven, high-throughput process to screen millions of combinations of VHHs simultaneously and allows us to select ATTOBODIES that are highly developable and conform to a desired set of precision design biologic properties.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ATTOBODIES against individual targets can be connected into complex biologics using a variety of scaffolds and formats without loss of activity or developability. To enable extended dosing intervals, we typically fuse ATTOBODIES to an Fc fragment-based scaffold using proprietary or standard linkers.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believe that ATTOBODIES offer several key properties that make them well-positioned for the creation of differentiated multispecific medicines: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b/>
                <w:i/>
                <w:sz w:val="20"/>
              </w:rPr>
              <w:t xml:space="preserve">Tunable affinity with the option to achieve high potency, </w:t>
            </w:r>
            <w:r>
              <w:rPr>
                <w:rFonts w:ascii="Times New Roman" w:hAnsi="Times New Roman"/>
                <w:sz w:val="20"/>
              </w:rPr>
              <w:t xml:space="preserve">driven by the biparatopic mode of target binding, results in high achievable affinity directly from discovery screening, without the need for affinity maturation.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b/>
                <w:i/>
                <w:sz w:val="20"/>
              </w:rPr>
              <w:t>Precision design</w:t>
            </w:r>
            <w:r>
              <w:rPr>
                <w:rFonts w:ascii="Times New Roman" w:hAnsi="Times New Roman"/>
                <w:sz w:val="20"/>
              </w:rPr>
              <w:t xml:space="preserve"> enables the discovery of ATTOBODIES that, for example, bind to specific epitopes on target molecules for target selectivity, spare desired biologic pathways such as decoy clearance mechanisms, or avoid known target-specific challenges such as aggregation.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b/>
                <w:i/>
                <w:sz w:val="20"/>
              </w:rPr>
              <w:t>Significant engineering</w:t>
            </w:r>
            <w:r>
              <w:rPr>
                <w:rFonts w:ascii="Times New Roman" w:hAnsi="Times New Roman"/>
                <w:sz w:val="20"/>
              </w:rPr>
              <w:t xml:space="preserve"> </w:t>
            </w:r>
            <w:r>
              <w:rPr>
                <w:rFonts w:ascii="Times New Roman" w:hAnsi="Times New Roman"/>
                <w:b/>
                <w:i/>
                <w:sz w:val="20"/>
              </w:rPr>
              <w:t xml:space="preserve">potential </w:t>
            </w:r>
            <w:r>
              <w:rPr>
                <w:rFonts w:ascii="Times New Roman" w:hAnsi="Times New Roman"/>
                <w:sz w:val="20"/>
              </w:rPr>
              <w:t xml:space="preserve">with the ability to simultaneously connect multiple ATTOBODIES into multispecifics that retain the biological properties of each individual ATTOBODY with excellent developability.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b/>
                <w:i/>
                <w:sz w:val="20"/>
              </w:rPr>
              <w:t>Tunable half-life</w:t>
            </w:r>
            <w:r>
              <w:rPr>
                <w:rFonts w:ascii="Times New Roman" w:hAnsi="Times New Roman"/>
                <w:sz w:val="20"/>
              </w:rPr>
              <w:t xml:space="preserve"> through ease of fusion to a variety of half-life extending fragments such as albumin-binding VHHs and Fc fragments or IgGs, with potential for infrequent dosing in patients.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b/>
                <w:i/>
                <w:sz w:val="20"/>
              </w:rPr>
              <w:t xml:space="preserve">Simple manufacturing </w:t>
            </w:r>
            <w:r>
              <w:rPr>
                <w:rFonts w:ascii="Times New Roman" w:hAnsi="Times New Roman"/>
                <w:sz w:val="20"/>
              </w:rPr>
              <w:t xml:space="preserve">using standard equipment and processes for making biologics. </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have completed over 15 successful ATTOBODY campaigns against a variety of target types including cytokines, cell surface molecules and multi-transmembrane proteins with a 100% success rate in discovering individual ATTOBODIES and complex biologics conforming to desirable characteristics in preclinical studies. Our preclinical discovery timelines are short, reflective of the robust nature of the platform; we have been able to nominate a development candidate within 12 months of commencing a preclinical discovery process and to submit an IND application within two years from commencing such preclinical discovery. We believe that the initial clinical data from the ATTO-1310 Phase 1 trial has preliminarily demonstrated that ATTO-1310 has the potential for favorable tolerability, low immunogenicity, fast and deep pruritic relief and convenient quarterly SC dosing.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ATTO-1310 for Chronic Pruritic Diseases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ATTO-1310 is a novel half-life extended anti-IL-31 ATTOBODY-based therapeutic currently in a Phase 1 clinical trial. We intend to develop ATTO-1310 for the treatment of chronic pruritic diseases such as CPUO, high-itch AD, cholestatic pruritus, and CKD-aP, with a long-term precision immunology-based clinical strategy. We believe that the initial clinical data from the ATTO-1310 Phase 1 trial has preliminarily demonstrated that ATTO-1310 has the potential for favorable tolerability, low immunogenicity, fast and deep pruritic relief and convenient quarterly SC dosing. We expect to initiate a Phase 2 clinical trial by the first half of 2027.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We believe that ATTO-1310 has the potential to be a favorable treatment option for CPUO, high-itch AD, cholestatic pruritus, CKD-aP and other pruritic indications. The molecule is designed for: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4"/>
        <w:gridCol w:w="203"/>
        <w:gridCol w:w="9290"/>
      </w:tblGrid>
      <w:tr>
        <w:trPr/>
        <w:tc>
          <w:tcPr>
            <w:tcW w:w="40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right"/>
              <w:rPr/>
            </w:pPr>
            <w:r>
              <w:rPr/>
              <w:t>1.</w:t>
            </w:r>
          </w:p>
        </w:tc>
        <w:tc>
          <w:tcPr>
            <w:tcW w:w="203"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Deep anti-pruritic responses;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202"/>
        <w:gridCol w:w="92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2.</w:t>
            </w:r>
          </w:p>
        </w:tc>
        <w:tc>
          <w:tcPr>
            <w:tcW w:w="202"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Fast pruritic relief;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203"/>
        <w:gridCol w:w="9289"/>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3.</w:t>
            </w:r>
          </w:p>
        </w:tc>
        <w:tc>
          <w:tcPr>
            <w:tcW w:w="203"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Favorable tolerability profile;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305"/>
        <w:gridCol w:w="202"/>
        <w:gridCol w:w="92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4.</w:t>
            </w:r>
          </w:p>
        </w:tc>
        <w:tc>
          <w:tcPr>
            <w:tcW w:w="202" w:type="dxa"/>
            <w:tcBorders/>
          </w:tcPr>
          <w:p>
            <w:pPr>
              <w:pStyle w:val="TableContents"/>
              <w:bidi w:val="0"/>
              <w:spacing w:before="0" w:after="283"/>
              <w:jc w:val="left"/>
              <w:rPr/>
            </w:pPr>
            <w:r>
              <w:rPr/>
              <w:t> </w:t>
            </w:r>
          </w:p>
        </w:tc>
        <w:tc>
          <w:tcPr>
            <w:tcW w:w="92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Up to quarterly maintenance subcutaneous dosing for patient convenience. </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ATTO-1310 is currently being evaluated in a four-part, randomized, double-blinded, placebo-controlled Phase 1 clinical trial. Parts 1 and 2 of the trial, evaluating the tolerability, PK and immunogenicity of ATTO-1310 in HVs, have now been completed. Parts 3 and 4 of the trial, evaluating the tolerability, PK, immunogenicity, pharmacodynamic (PD), and efficacy of ATTO-1310 in patients suffering from high-itch AD or chronic pruritus are currently ongoing.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To date, ATTO-1310 has demonstrated a favorable tolerability profile across HVs and patients with chronic pruritus and high-itch AD, with predominantly Grade 1 or Grade 2 TEAEs and no treatment-related serious or severe adverse events (SAEs) observed. PK data demonstrated an approximately dose-proportional profile with good SC bioavailability, while immunogenicity remained low with no detected neutralizing anti-drug antibodies (ADAs).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plan to focus the ongoing and future trials of ATTO-1310 on exploring the PD link between IL-31 levels, pruritus and efficacy of ATTO-1310 treatment. The body of evidence generated through these studies will potentially support a precision immunology, IL-31 biomarker-based clinical development strategy for ATTO-1310.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ATTO-2306 for AD and Other Inflammatory Diseases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ATTO-2306 is a novel half-life extended ATTOBODY-based biotherapeutic that inhibits both IL-13 and IL-31. We believe ATTO-2306 has the potential to establish a new standard of care for the treatment of AD and other immune-mediated skin diseases, such as CSU and PN, by offering favorable lesion and itch control, as well as significantly improved convenience compared to currently available biologic treatments. ATTO-2306 is a next-generation bispecific designed to improve upon one of our past product candidates, ATTO-3712. The key improvement of ATTO-2306 is its potential to deliver a significantly longer projected human half-life compared to ATTO-3712.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ATTO-2306 consists of two highly potent IL-31-targeted ATTOBODIES, which are connected to an anti-IL-13 IgG containing the M252Y/S254T/T256E (YTE) mutation for half-life extension, and the anti-IL-13 IgG was derived from lebrikizumab. The IL-31 targeting ATTOBODIES incorporated in ATTO-2306 use the same VHHs as those in ATTO-1310. We believe these shared elements will enable the findings from ATTO-1310 clinical trials, together with the existing ample body of evidence for anti-IL-13 antibodies, including evidence supporting half-life extension, to inform and accelerate the development of ATTO-2306.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ATTO-2306 has exhibited strong initial developability properties, and ability to develop a high-concentration SC formulation. We have conducted a preclinical program to better understand the potential of ATTO-2306. Through these studies, ATTO-2306 has demonstrated: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High potency compared to analogous molecules regardless of whether each arm was tested as a monospecific or bispecific;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Low projected risk of immunogenicity in humans;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Long half-life, consistent with avoidance of TMDD compared to an IL-4Ra targeted therapeutic and the utilization of half-life extension technology.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IND-enabling studies for ATTO-2306 are currently ongoing. We anticipate commencing a Phase 1 clinical trial for ATTO-2306 in the first half of 2027.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ATTO-1091 for IBD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ATTO-1091 is a trispecific ATTOBODY-Fc fusion construct that binds to TL1A, IL-23 and integrin α4ß7 with binding properties optimized for all three targets. Similar to ATTO-1310, the Fc portion of ATTO-1091 has been engineered to harbor a YTE mutation.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IBD is a chronic immune-mediated condition characterized by persistent inflammation of the gastrointestinal tract. Two of the most common forms of IBD include ulcerative colitis (UC) and Crohn’s disease (CD), affecting more than 7 million people worldwide. In the United States, UC prevalence is estimated to be approximately 1.1 million individuals, and CD prevalence is estimated to be approximately 1.0 million individuals.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ATTO-1091 inhibits three distinct immune pathways, each of which has demonstrated a favorable tolerability profile in third-party clinical trials. As part of our design process, we carried out a dose range finding study in non-human primates (NHPs). There were no clinical safety observations and no histopathology findings in any of the animals in the study.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GMP manufacturing process development and GLP toxicology studies for ATTO-1091 are ongoing. We expect to commence a randomized, placebo-controlled Phase 1 clinical trial for ATTO-1091 in the first half of 2027.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Management Team and Investors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were founded in 2023 to build a therapeutics company based on the potential of our ATTOBODY platform to discover and develop novel biologics targeting immune-mediated diseases. Our company was founded by a group of investors, including Alamar, with the goal of giving the ATTOBODY platform the dedicated attention and resources necessary to fully realize its potential for therapeutics. We are led by a proven management team with a strong track record of excellence, bringing decades of experience in drug discovery, development and company leadership through multiple therapeutic approvals and strategic transactions. Our management team brings and deploys a deep understanding of disease biology to deliver potential complex biologic treatment options discovered through our ATTOBODY platform.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As of March 31, 2026, we have raised $255.8 million since our inception from leading life science investors with significant industry experience and expertise including certain of our current 5% or greater holders: Deep Track Capital, Frazier Life Sciences, Goldman Sachs Alternatives and venBio. Prospective investors should not rely on the past investment decisions of our investors, as our investors may have different risk tolerances and have received their shares in prior offerings at prices lower than the price offered to the public in this offering. In addition, some of these investors may not be subject to reporting requirements under Section 16 of the Securities Exchange Act of 1934, as amended, or the Exchange Act, and, thus, prospective investors may not necessarily know the total amount of investment by each of our existing investors and if and when our existing investors may decide to sell any of their shares. See the sections titled “Certain Relationships and Related Party Transactions” and “Principal Stockholders” for more information on prior purchases by and current holdings of these stockholders.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Strategy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believe the future treatment of immune-mediated diseases will be defined by precisely engineered biologics capable of delivering both enhanced efficacy as well as improved durability and patient convenience.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Our strategy is to leverage our ATTOBODY platform to develop next-generation, precision-designed biologics with the potential to improve clinical outcomes while enabling infrequent SC dosing. We are pursuing this strategy through the following priorities: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Establish leadership in chronic pruritic diseases with ATTO-1310.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Advance ATTO-2306 as a differentiated therapy for inflammatory skin diseases.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Expand our pipeline of next-generation complex biologics.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Utilize strategic collaborations to extend platform reach and maximize value. </w:t>
            </w:r>
          </w:p>
        </w:tc>
      </w:tr>
    </w:tbl>
    <w:p>
      <w:pPr>
        <w:pStyle w:val="TextBody"/>
        <w:bidi w:val="0"/>
        <w:spacing w:before="360" w:after="0"/>
        <w:jc w:val="both"/>
        <w:rPr>
          <w:rFonts w:ascii="Times New Roman" w:hAnsi="Times New Roman"/>
          <w:sz w:val="20"/>
          <w:bdr w:val="single" w:sz="8" w:space="1" w:color="000000"/>
        </w:rPr>
      </w:pPr>
      <w:r>
        <w:rPr>
          <w:rFonts w:ascii="Times New Roman" w:hAnsi="Times New Roman"/>
          <w:b/>
          <w:sz w:val="20"/>
          <w:bdr w:val="single" w:sz="8" w:space="1" w:color="000000"/>
        </w:rPr>
        <w:t>Recent Developments</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Preliminary Financial Results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Based on our current estimates, we had approximately $115.1 million in cash, cash equivalents and marketable securities as of June 30, 2026. However, this estimate is preliminary, unaudited and may change, was prepared by management based on the most current information available to management, and is subject to the completion of our quarter-end financial closing process for the three months ended June 30, 2026. This estimate should not be viewed as a substitute for financial statements prepared in accordance with accounting principles generally accepted in the United States and is not necessarily indicative of the results to be achieved in any future period. Accordingly, you should not draw any conclusions based on the foregoing estimate and should not place undue reliance on this preliminary estimate. We assume no duty to update this preliminary estimate except as required by law.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preliminary financial data included in this registration statement on Form S-1 has been prepared by, and is the responsibility of, Attovia Therapeutics, Inc.’s management. PricewaterhouseCoopers LLP has not audited, reviewed, examined, compiled, nor applied agreed-upon procedures with respect to the preliminary financial data. Accordingly, PricewaterhouseCoopers LLP does not express an opinion or any other form of assurance with respect thereto.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of Risks Associated with Our Business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Our business is subject to a number of risks and uncertainties, including those highlighted in the section titled “Risk Factors” immediately following this prospectus summary. These risks include, among others,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have a limited operating history, have not completed any clinical trials and have no products approved for commercial sale, which may make it difficult for investors to evaluate our business, likelihood of success and viability.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have incurred significant operating losses since our inception and have not generated any product revenue. We expect to incur significant losses for the foreseeable future and may never achieve or maintain profitability.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Even if this offering is successful, we will require substantial additional capital to finance our operations and achieve our goals. If we are unable to raise capital when needed or on terms acceptable to us, we may be forced to delay, reduce or eliminate our research or development programs, any future commercialization efforts or other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are substantially dependent on the success of our product candidates, ATTO-1310, ATTO-2306 and ATTO-1091. If we are unable to advance the development of, receive regulatory approval for, and ultimately successfully commercialize ATTO-1310, ATTO-2306 or ATTO-1091, or experience significant delays in doing so, our business will be materially harmed.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Drug development is a lengthy and expensive process, the outcome of clinical testing is inherently uncertain, and results of earlier preclinical studies and clinical trials may not be predictive of future clinical trial results. We may incur additional costs or experience delays in completing, or ultimately be unable to complete, the development and commercialization of ATTO-1310, ATTO-2306, ATTO-1091 and any future product candidates for many reasons, including a failure to replicate positive results from earlier preclinical studies or clinical trials in ongoing or future preclinical studies or clinical trials.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future performance is dependent on our ability to retain key employees and to attract, retain and motivate qualified personnel and manage our human capital.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expect to expand our development, clinical and regulatory capabilities and operations as we grow, and as a result, we may encounter difficulties in managing our growth, which could disrupt our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face substantial competition, which may result in others discovering, developing or commercializing products before or more successfully than we do.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quarterly and annual operating results may fluctuate significantly or may fall below the expectations of investors or securities analysts, each of which may cause our stock price to fluctuate or decline.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we are unable to obtain and maintain patent protection or other necessary rights for any of our current or future product candidates and technology, or if the scope of the patent protection obtained is not sufficiently broad or our rights under our patents are not sufficiently broad, our competitors could develop and commercialize products and technology similar or identical to ours, and our ability to successfully commercialize our products and technology may be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rely, and intend to continue to rely, on third parties to conduct our clinical trials and perform some of our research and potential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marketing authorization, each of which may have an adverse effect on our business, financial condition, results of operations and prospects.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rely on third parties to manufacture our product candidates and clinical product supplies and we may not be able to obtain adequate supplies at a reasonable cost or in a timely way.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regulatory approval process is highly uncertain, and we may be unable to obtain, or may be delayed in obtaining, U.S. or foreign regulatory approval and, as a result, unable to commercialize ATTO-1310, ATTO-2306, ATTO-1091 and any future product candidates. Even if we believe our current, or planned clinical trials are successful, regulatory authorities may not agree that they provide adequate data on safety or efficacy. </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summary risk factors described above should be read together with the text of the full risk factors in the section titled “Risk Factors” and the other information set forth in this prospectus, including our consolidated financial statements and the related notes. The risks summarized above or described in full elsewhere in this prospectus are not the only risks that we face. Additional risks and uncertainties not presently known to us, or that we currently deem to be immaterial, may also materially adversely affect our business, financial condition, results of operations and future growth prospects.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and Other Information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Delaware on December 16, 2022, under the name Attovia Therapeutics,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1091 Industrial Road, Suite 310, San Carlos, California 94070, and our telephone number is (510) 399-5001. Our website address is https://www.attovia.com. The information contained on, or that can be accessed through, our website is not part of, and is not incorporated by reference into, this prospectus. We have included our website in this prospectus solely as a textual reference. Investors should not rely on any such information in deciding whether to purchase our common stock.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marks “Attovia” and “ATTOBODY” and our other registered or common law trade names, trademarks or service marks appearing in this prospectus are valuable company assets and are the exclusive property of Attovia. Solely for convenience, the trademarks, service marks and trade names referred to in this prospectus appear without the ® and  symbols, but this should not be interpreted as a waiver of any rights, and we fully reserve the right to assert and protect our intellectual property rights concerning our marks in accordance with applicable laws.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All other service marks, trademarks and trade names appearing in this prospectus are the property of their respective owners. Our use of third-party trade names, trademarks or service marks in this prospectus does not imply any affiliation with, endorsement by, or sponsorship by us of those companies.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and a Smaller Reporting Company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As a company with less than $1.235 billion in revenue during our last fiscal year, we qualify as an “emerging growth company” as defined in the Jumpstart Our Business Startups Act of 2012 (JOBS Act). An emerging growth company may take advantage of certain exemptions from various reporting requirements that are applicable to other public companies. These provisions include, but are not limited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being permitted to present only two years of financial statements and only two years of reduced related “Management’s Discussion and Analysis of Financial Condition and Results of Operations” disclosure in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not being required to comply with the auditor attestation requirements of Section 404 of the Sarbanes-Oxley Act of 2002, as amended (Sarbanes-Oxley Act), on the effectiveness of our internal controls over financial reporting;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reduced disclosure obligations regarding executive compensation arrangements;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exemptions from the requirements of holding a nonbinding advisory vote on executive compensation and stockholder approval of any golden parachute payments not previously approved. </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will remain an emerging growth company until the earliest to occur of: (i) the last day of the fiscal year in which we have more than $1.235 billion in annual revenue; (ii) the date we qualify as a “large accelerated filer,” with at least $700.0 million of equity securities held by non-affiliates; (iii) the date on which we have issued, in any three-year period, more than $1.0 billion in non-convertible debt securities; and (iv) the last day of the fiscal year ending after the fifth anniversary of the completion of this offering.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have elected to take advantage of certain of the reduced disclosure obligations for emerging growth companies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JOBS Act provides that an emerging growth company can take advantage of an extended transition period for complying with new or revised accounting standards, until those standards apply to private companies. We have elected to use this extended transition period to enable us to comply with new or revised accounting standards that have different effective dates for public and private companies until the earlier of the date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(i) are no longer an emerging growth company or (ii) affirmatively and irrevocably opt out of the extended transition period provided in the JOBS Act. As a result, our financial statements may not be comparable to companies that comply with such new or revised accounting standards. Until the date that we are no longer an emerging growth company or affirmatively and irrevocably opt out of the exemption provided by Section 7(a)(2)(B) of the Securities Act of 1933, as amended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are also a “smaller reporting company,” meaning that (i) the aggregate number of shares of our common equity held by non-affiliates before the effectiveness of the registration statement of which this prospectus is a part, plus the number of such shares offered hereby to non-affiliates, multiplied by the expected initial public offering price of $17.00 per share is less than $700.0 million, and (ii) our annual revenue is less than $100.0 million during the most recently completed fiscal year. We may continue to be a smaller reporting company after this offering if either (i) the market value of our capital stock held by non-affiliates is less than $250.0 million or (ii) our annual revenue was less than $100.0 million during the most recently completed fiscal year and the market value of our capital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we are not required to comply with the auditor attestation requirements of Section 404(b) of the Sarbanes-Oxley Act and, similar to emerging growth companies, smaller reporting companies have reduced disclosure obligations regarding executive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5172"/>
        <w:gridCol w:w="122"/>
        <w:gridCol w:w="4911"/>
      </w:tblGrid>
      <w:tr>
        <w:trPr/>
        <w:tc>
          <w:tcPr>
            <w:tcW w:w="517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911" w:type="dxa"/>
            <w:tcBorders/>
            <w:vAlign w:val="center"/>
          </w:tcPr>
          <w:p>
            <w:pPr>
              <w:pStyle w:val="TableContents"/>
              <w:bidi w:val="0"/>
              <w:spacing w:before="0" w:after="283"/>
              <w:jc w:val="left"/>
              <w:rPr>
                <w:sz w:val="4"/>
                <w:szCs w:val="4"/>
              </w:rPr>
            </w:pPr>
            <w:r>
              <w:rPr>
                <w:sz w:val="4"/>
                <w:szCs w:val="4"/>
              </w:rPr>
            </w:r>
          </w:p>
        </w:tc>
      </w:tr>
      <w:tr>
        <w:trPr/>
        <w:tc>
          <w:tcPr>
            <w:tcW w:w="5172"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offered by us</w:t>
            </w:r>
          </w:p>
        </w:tc>
        <w:tc>
          <w:tcPr>
            <w:tcW w:w="122" w:type="dxa"/>
            <w:tcBorders/>
            <w:vAlign w:val="bottom"/>
          </w:tcPr>
          <w:p>
            <w:pPr>
              <w:pStyle w:val="TableContents"/>
              <w:bidi w:val="0"/>
              <w:spacing w:before="0" w:after="283"/>
              <w:jc w:val="left"/>
              <w:rPr/>
            </w:pPr>
            <w:r>
              <w:rPr/>
              <w:t>  </w:t>
            </w:r>
          </w:p>
        </w:tc>
        <w:tc>
          <w:tcPr>
            <w:tcW w:w="4911" w:type="dxa"/>
            <w:tcBorders/>
          </w:tcPr>
          <w:p>
            <w:pPr>
              <w:pStyle w:val="TableContents"/>
              <w:bidi w:val="0"/>
              <w:spacing w:before="0" w:after="0"/>
              <w:jc w:val="both"/>
              <w:rPr>
                <w:rFonts w:ascii="Times New Roman" w:hAnsi="Times New Roman"/>
                <w:sz w:val="20"/>
              </w:rPr>
            </w:pPr>
            <w:r>
              <w:rPr>
                <w:rFonts w:ascii="Times New Roman" w:hAnsi="Times New Roman"/>
                <w:sz w:val="20"/>
              </w:rPr>
              <w:t>17,000,000 shares.</w:t>
            </w:r>
          </w:p>
        </w:tc>
      </w:tr>
      <w:tr>
        <w:trPr>
          <w:trHeight w:val="75" w:hRule="atLeast"/>
        </w:trPr>
        <w:tc>
          <w:tcPr>
            <w:tcW w:w="5172" w:type="dxa"/>
            <w:tcBorders/>
            <w:vAlign w:val="center"/>
          </w:tcPr>
          <w:p>
            <w:pPr>
              <w:pStyle w:val="TableContents"/>
              <w:bidi w:val="0"/>
              <w:spacing w:before="0" w:after="283"/>
              <w:jc w:val="left"/>
              <w:rPr>
                <w:sz w:val="4"/>
                <w:szCs w:val="4"/>
              </w:rPr>
            </w:pPr>
            <w:r>
              <w:rPr>
                <w:sz w:val="4"/>
                <w:szCs w:val="4"/>
              </w:rPr>
            </w:r>
          </w:p>
        </w:tc>
        <w:tc>
          <w:tcPr>
            <w:tcW w:w="5033" w:type="dxa"/>
            <w:gridSpan w:val="2"/>
            <w:tcBorders/>
            <w:vAlign w:val="center"/>
          </w:tcPr>
          <w:p>
            <w:pPr>
              <w:pStyle w:val="TableContents"/>
              <w:bidi w:val="0"/>
              <w:spacing w:before="0" w:after="283"/>
              <w:jc w:val="left"/>
              <w:rPr>
                <w:sz w:val="4"/>
                <w:szCs w:val="4"/>
              </w:rPr>
            </w:pPr>
            <w:r>
              <w:rPr>
                <w:sz w:val="4"/>
                <w:szCs w:val="4"/>
              </w:rPr>
            </w:r>
          </w:p>
        </w:tc>
      </w:tr>
      <w:tr>
        <w:trPr/>
        <w:tc>
          <w:tcPr>
            <w:tcW w:w="5172" w:type="dxa"/>
            <w:tcBorders/>
          </w:tcPr>
          <w:p>
            <w:pPr>
              <w:pStyle w:val="TableContents"/>
              <w:bidi w:val="0"/>
              <w:spacing w:before="0" w:after="0"/>
              <w:jc w:val="left"/>
              <w:rPr>
                <w:rFonts w:ascii="Times New Roman" w:hAnsi="Times New Roman"/>
                <w:sz w:val="20"/>
              </w:rPr>
            </w:pPr>
            <w:r>
              <w:rPr>
                <w:rFonts w:ascii="Times New Roman" w:hAnsi="Times New Roman"/>
                <w:sz w:val="20"/>
              </w:rPr>
              <w:t>Underwriters’ over-allotment option</w:t>
            </w:r>
          </w:p>
        </w:tc>
        <w:tc>
          <w:tcPr>
            <w:tcW w:w="122" w:type="dxa"/>
            <w:tcBorders/>
            <w:vAlign w:val="bottom"/>
          </w:tcPr>
          <w:p>
            <w:pPr>
              <w:pStyle w:val="TableContents"/>
              <w:bidi w:val="0"/>
              <w:spacing w:before="0" w:after="283"/>
              <w:jc w:val="left"/>
              <w:rPr/>
            </w:pPr>
            <w:r>
              <w:rPr/>
              <w:t>  </w:t>
            </w:r>
          </w:p>
        </w:tc>
        <w:tc>
          <w:tcPr>
            <w:tcW w:w="4911" w:type="dxa"/>
            <w:tcBorders/>
          </w:tcPr>
          <w:p>
            <w:pPr>
              <w:pStyle w:val="TableContents"/>
              <w:bidi w:val="0"/>
              <w:spacing w:before="0" w:after="0"/>
              <w:jc w:val="both"/>
              <w:rPr>
                <w:rFonts w:ascii="Times New Roman" w:hAnsi="Times New Roman"/>
                <w:sz w:val="20"/>
              </w:rPr>
            </w:pPr>
            <w:r>
              <w:rPr>
                <w:rFonts w:ascii="Times New Roman" w:hAnsi="Times New Roman"/>
                <w:sz w:val="20"/>
              </w:rPr>
              <w:t>2,550,000 shares.</w:t>
            </w:r>
          </w:p>
        </w:tc>
      </w:tr>
      <w:tr>
        <w:trPr>
          <w:trHeight w:val="75" w:hRule="atLeast"/>
        </w:trPr>
        <w:tc>
          <w:tcPr>
            <w:tcW w:w="5172" w:type="dxa"/>
            <w:tcBorders/>
            <w:vAlign w:val="center"/>
          </w:tcPr>
          <w:p>
            <w:pPr>
              <w:pStyle w:val="TableContents"/>
              <w:bidi w:val="0"/>
              <w:spacing w:before="0" w:after="283"/>
              <w:jc w:val="left"/>
              <w:rPr>
                <w:sz w:val="4"/>
                <w:szCs w:val="4"/>
              </w:rPr>
            </w:pPr>
            <w:r>
              <w:rPr>
                <w:sz w:val="4"/>
                <w:szCs w:val="4"/>
              </w:rPr>
            </w:r>
          </w:p>
        </w:tc>
        <w:tc>
          <w:tcPr>
            <w:tcW w:w="5033" w:type="dxa"/>
            <w:gridSpan w:val="2"/>
            <w:tcBorders/>
            <w:vAlign w:val="center"/>
          </w:tcPr>
          <w:p>
            <w:pPr>
              <w:pStyle w:val="TableContents"/>
              <w:bidi w:val="0"/>
              <w:spacing w:before="0" w:after="283"/>
              <w:jc w:val="left"/>
              <w:rPr>
                <w:sz w:val="4"/>
                <w:szCs w:val="4"/>
              </w:rPr>
            </w:pPr>
            <w:r>
              <w:rPr>
                <w:sz w:val="4"/>
                <w:szCs w:val="4"/>
              </w:rPr>
            </w:r>
          </w:p>
        </w:tc>
      </w:tr>
      <w:tr>
        <w:trPr/>
        <w:tc>
          <w:tcPr>
            <w:tcW w:w="5172"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to be outstanding immediately after this offering</w:t>
            </w:r>
          </w:p>
        </w:tc>
        <w:tc>
          <w:tcPr>
            <w:tcW w:w="122" w:type="dxa"/>
            <w:tcBorders/>
            <w:vAlign w:val="bottom"/>
          </w:tcPr>
          <w:p>
            <w:pPr>
              <w:pStyle w:val="TableContents"/>
              <w:bidi w:val="0"/>
              <w:spacing w:before="0" w:after="283"/>
              <w:jc w:val="left"/>
              <w:rPr/>
            </w:pPr>
            <w:r>
              <w:rPr/>
              <w:t>  </w:t>
            </w:r>
          </w:p>
        </w:tc>
        <w:tc>
          <w:tcPr>
            <w:tcW w:w="4911" w:type="dxa"/>
            <w:tcBorders/>
          </w:tcPr>
          <w:p>
            <w:pPr>
              <w:pStyle w:val="TableContents"/>
              <w:bidi w:val="0"/>
              <w:spacing w:before="0" w:after="0"/>
              <w:jc w:val="left"/>
              <w:rPr/>
            </w:pPr>
            <w:r>
              <w:rPr/>
            </w:r>
          </w:p>
          <w:p>
            <w:pPr>
              <w:pStyle w:val="TableContents"/>
              <w:bidi w:val="0"/>
              <w:spacing w:before="0" w:after="0"/>
              <w:jc w:val="both"/>
              <w:rPr>
                <w:rFonts w:ascii="Times New Roman" w:hAnsi="Times New Roman"/>
                <w:sz w:val="20"/>
              </w:rPr>
            </w:pPr>
            <w:r>
              <w:rPr>
                <w:rFonts w:ascii="Times New Roman" w:hAnsi="Times New Roman"/>
                <w:sz w:val="20"/>
              </w:rPr>
              <w:t>43,029,017 shares (or 45,579,017 shares, if the underwriters exercise their over-allotment option in full).</w:t>
            </w:r>
          </w:p>
        </w:tc>
      </w:tr>
      <w:tr>
        <w:trPr>
          <w:trHeight w:val="75" w:hRule="atLeast"/>
        </w:trPr>
        <w:tc>
          <w:tcPr>
            <w:tcW w:w="5172" w:type="dxa"/>
            <w:tcBorders/>
            <w:vAlign w:val="center"/>
          </w:tcPr>
          <w:p>
            <w:pPr>
              <w:pStyle w:val="TableContents"/>
              <w:bidi w:val="0"/>
              <w:spacing w:before="0" w:after="283"/>
              <w:jc w:val="left"/>
              <w:rPr>
                <w:sz w:val="4"/>
                <w:szCs w:val="4"/>
              </w:rPr>
            </w:pPr>
            <w:r>
              <w:rPr>
                <w:sz w:val="4"/>
                <w:szCs w:val="4"/>
              </w:rPr>
            </w:r>
          </w:p>
        </w:tc>
        <w:tc>
          <w:tcPr>
            <w:tcW w:w="5033" w:type="dxa"/>
            <w:gridSpan w:val="2"/>
            <w:tcBorders/>
            <w:vAlign w:val="center"/>
          </w:tcPr>
          <w:p>
            <w:pPr>
              <w:pStyle w:val="TableContents"/>
              <w:bidi w:val="0"/>
              <w:spacing w:before="0" w:after="283"/>
              <w:jc w:val="left"/>
              <w:rPr>
                <w:sz w:val="4"/>
                <w:szCs w:val="4"/>
              </w:rPr>
            </w:pPr>
            <w:r>
              <w:rPr>
                <w:sz w:val="4"/>
                <w:szCs w:val="4"/>
              </w:rPr>
            </w:r>
          </w:p>
        </w:tc>
      </w:tr>
      <w:tr>
        <w:trPr/>
        <w:tc>
          <w:tcPr>
            <w:tcW w:w="5172" w:type="dxa"/>
            <w:tcBorders/>
          </w:tcPr>
          <w:p>
            <w:pPr>
              <w:pStyle w:val="TableContents"/>
              <w:bidi w:val="0"/>
              <w:spacing w:before="0" w:after="0"/>
              <w:jc w:val="left"/>
              <w:rPr>
                <w:rFonts w:ascii="Times New Roman" w:hAnsi="Times New Roman"/>
                <w:sz w:val="20"/>
              </w:rPr>
            </w:pPr>
            <w:r>
              <w:rPr>
                <w:rFonts w:ascii="Times New Roman" w:hAnsi="Times New Roman"/>
                <w:sz w:val="20"/>
              </w:rPr>
              <w:t>Use of proceeds</w:t>
            </w:r>
          </w:p>
        </w:tc>
        <w:tc>
          <w:tcPr>
            <w:tcW w:w="122" w:type="dxa"/>
            <w:tcBorders/>
            <w:vAlign w:val="bottom"/>
          </w:tcPr>
          <w:p>
            <w:pPr>
              <w:pStyle w:val="TableContents"/>
              <w:bidi w:val="0"/>
              <w:spacing w:before="0" w:after="283"/>
              <w:jc w:val="left"/>
              <w:rPr/>
            </w:pPr>
            <w:r>
              <w:rPr/>
              <w:t>  </w:t>
            </w:r>
          </w:p>
        </w:tc>
        <w:tc>
          <w:tcPr>
            <w:tcW w:w="4911" w:type="dxa"/>
            <w:tcBorders/>
          </w:tcPr>
          <w:p>
            <w:pPr>
              <w:pStyle w:val="TableContents"/>
              <w:bidi w:val="0"/>
              <w:spacing w:before="0" w:after="0"/>
              <w:jc w:val="both"/>
              <w:rPr>
                <w:rFonts w:ascii="Times New Roman" w:hAnsi="Times New Roman"/>
                <w:sz w:val="20"/>
              </w:rPr>
            </w:pPr>
            <w:r>
              <w:rPr>
                <w:rFonts w:ascii="Times New Roman" w:hAnsi="Times New Roman"/>
                <w:sz w:val="20"/>
              </w:rPr>
              <w:t>We estimate that the net proceeds from this offering will be approximately $265.1 million (or approximately $305.4 million if the underwriters exercise their over-allotment option in full), based upon the expected initial public offering price of $17.00 per share, and after deducting the estimated underwriting discounts and commissions and estimated offering expenses payable by us.</w:t>
            </w:r>
          </w:p>
        </w:tc>
      </w:tr>
      <w:tr>
        <w:trPr>
          <w:trHeight w:val="75" w:hRule="atLeast"/>
        </w:trPr>
        <w:tc>
          <w:tcPr>
            <w:tcW w:w="5172" w:type="dxa"/>
            <w:tcBorders/>
            <w:vAlign w:val="center"/>
          </w:tcPr>
          <w:p>
            <w:pPr>
              <w:pStyle w:val="TableContents"/>
              <w:bidi w:val="0"/>
              <w:spacing w:before="0" w:after="283"/>
              <w:jc w:val="left"/>
              <w:rPr>
                <w:sz w:val="4"/>
                <w:szCs w:val="4"/>
              </w:rPr>
            </w:pPr>
            <w:r>
              <w:rPr>
                <w:sz w:val="4"/>
                <w:szCs w:val="4"/>
              </w:rPr>
            </w:r>
          </w:p>
        </w:tc>
        <w:tc>
          <w:tcPr>
            <w:tcW w:w="5033" w:type="dxa"/>
            <w:gridSpan w:val="2"/>
            <w:tcBorders/>
            <w:vAlign w:val="center"/>
          </w:tcPr>
          <w:p>
            <w:pPr>
              <w:pStyle w:val="TableContents"/>
              <w:bidi w:val="0"/>
              <w:spacing w:before="0" w:after="283"/>
              <w:jc w:val="left"/>
              <w:rPr>
                <w:sz w:val="4"/>
                <w:szCs w:val="4"/>
              </w:rPr>
            </w:pPr>
            <w:r>
              <w:rPr>
                <w:sz w:val="4"/>
                <w:szCs w:val="4"/>
              </w:rPr>
            </w:r>
          </w:p>
        </w:tc>
      </w:tr>
      <w:tr>
        <w:trPr/>
        <w:tc>
          <w:tcPr>
            <w:tcW w:w="517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911" w:type="dxa"/>
            <w:tcBorders/>
          </w:tcPr>
          <w:p>
            <w:pPr>
              <w:pStyle w:val="TableContents"/>
              <w:bidi w:val="0"/>
              <w:spacing w:before="0" w:after="0"/>
              <w:jc w:val="both"/>
              <w:rPr>
                <w:rFonts w:ascii="Times New Roman" w:hAnsi="Times New Roman"/>
                <w:sz w:val="20"/>
              </w:rPr>
            </w:pPr>
            <w:r>
              <w:rPr>
                <w:rFonts w:ascii="Times New Roman" w:hAnsi="Times New Roman"/>
                <w:sz w:val="20"/>
              </w:rPr>
              <w:t>We currently intend to use the net proceeds from this offering, together with our existing cash, cash equivalents and marketable securities, to advance the clinical development of ATTO-1310, ATTO-2306, and our research pipeline, including ATTO-1091, for other research and development activities, as well as for working capital and for other general corporate purposes.</w:t>
            </w:r>
          </w:p>
        </w:tc>
      </w:tr>
      <w:tr>
        <w:trPr>
          <w:trHeight w:val="75" w:hRule="atLeast"/>
        </w:trPr>
        <w:tc>
          <w:tcPr>
            <w:tcW w:w="5172" w:type="dxa"/>
            <w:tcBorders/>
            <w:vAlign w:val="center"/>
          </w:tcPr>
          <w:p>
            <w:pPr>
              <w:pStyle w:val="TableContents"/>
              <w:bidi w:val="0"/>
              <w:spacing w:before="0" w:after="283"/>
              <w:jc w:val="left"/>
              <w:rPr>
                <w:sz w:val="4"/>
                <w:szCs w:val="4"/>
              </w:rPr>
            </w:pPr>
            <w:r>
              <w:rPr>
                <w:sz w:val="4"/>
                <w:szCs w:val="4"/>
              </w:rPr>
            </w:r>
          </w:p>
        </w:tc>
        <w:tc>
          <w:tcPr>
            <w:tcW w:w="5033" w:type="dxa"/>
            <w:gridSpan w:val="2"/>
            <w:tcBorders/>
            <w:vAlign w:val="center"/>
          </w:tcPr>
          <w:p>
            <w:pPr>
              <w:pStyle w:val="TableContents"/>
              <w:bidi w:val="0"/>
              <w:spacing w:before="0" w:after="283"/>
              <w:jc w:val="left"/>
              <w:rPr>
                <w:sz w:val="4"/>
                <w:szCs w:val="4"/>
              </w:rPr>
            </w:pPr>
            <w:r>
              <w:rPr>
                <w:sz w:val="4"/>
                <w:szCs w:val="4"/>
              </w:rPr>
            </w:r>
          </w:p>
        </w:tc>
      </w:tr>
      <w:tr>
        <w:trPr/>
        <w:tc>
          <w:tcPr>
            <w:tcW w:w="517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911" w:type="dxa"/>
            <w:tcBorders/>
          </w:tcPr>
          <w:p>
            <w:pPr>
              <w:pStyle w:val="TableContents"/>
              <w:bidi w:val="0"/>
              <w:spacing w:before="0" w:after="0"/>
              <w:jc w:val="both"/>
              <w:rPr>
                <w:rFonts w:ascii="Times New Roman" w:hAnsi="Times New Roman"/>
                <w:sz w:val="20"/>
              </w:rPr>
            </w:pPr>
            <w:r>
              <w:rPr>
                <w:rFonts w:ascii="Times New Roman" w:hAnsi="Times New Roman"/>
                <w:sz w:val="20"/>
              </w:rPr>
              <w:t>See the section titled “Use of Proceeds” for additional information.</w:t>
            </w:r>
          </w:p>
        </w:tc>
      </w:tr>
      <w:tr>
        <w:trPr>
          <w:trHeight w:val="75" w:hRule="atLeast"/>
        </w:trPr>
        <w:tc>
          <w:tcPr>
            <w:tcW w:w="5172" w:type="dxa"/>
            <w:tcBorders/>
            <w:vAlign w:val="center"/>
          </w:tcPr>
          <w:p>
            <w:pPr>
              <w:pStyle w:val="TableContents"/>
              <w:bidi w:val="0"/>
              <w:spacing w:before="0" w:after="283"/>
              <w:jc w:val="left"/>
              <w:rPr>
                <w:sz w:val="4"/>
                <w:szCs w:val="4"/>
              </w:rPr>
            </w:pPr>
            <w:r>
              <w:rPr>
                <w:sz w:val="4"/>
                <w:szCs w:val="4"/>
              </w:rPr>
            </w:r>
          </w:p>
        </w:tc>
        <w:tc>
          <w:tcPr>
            <w:tcW w:w="5033" w:type="dxa"/>
            <w:gridSpan w:val="2"/>
            <w:tcBorders/>
            <w:vAlign w:val="center"/>
          </w:tcPr>
          <w:p>
            <w:pPr>
              <w:pStyle w:val="TableContents"/>
              <w:bidi w:val="0"/>
              <w:spacing w:before="0" w:after="283"/>
              <w:jc w:val="left"/>
              <w:rPr>
                <w:sz w:val="4"/>
                <w:szCs w:val="4"/>
              </w:rPr>
            </w:pPr>
            <w:r>
              <w:rPr>
                <w:sz w:val="4"/>
                <w:szCs w:val="4"/>
              </w:rPr>
            </w:r>
          </w:p>
        </w:tc>
      </w:tr>
      <w:tr>
        <w:trPr/>
        <w:tc>
          <w:tcPr>
            <w:tcW w:w="5172" w:type="dxa"/>
            <w:tcBorders/>
          </w:tcPr>
          <w:p>
            <w:pPr>
              <w:pStyle w:val="TableContents"/>
              <w:bidi w:val="0"/>
              <w:spacing w:before="0" w:after="0"/>
              <w:jc w:val="left"/>
              <w:rPr>
                <w:rFonts w:ascii="Times New Roman" w:hAnsi="Times New Roman"/>
                <w:sz w:val="20"/>
              </w:rPr>
            </w:pPr>
            <w:r>
              <w:rPr>
                <w:rFonts w:ascii="Times New Roman" w:hAnsi="Times New Roman"/>
                <w:sz w:val="20"/>
              </w:rPr>
              <w:t>Risk factors</w:t>
            </w:r>
          </w:p>
        </w:tc>
        <w:tc>
          <w:tcPr>
            <w:tcW w:w="122" w:type="dxa"/>
            <w:tcBorders/>
            <w:vAlign w:val="bottom"/>
          </w:tcPr>
          <w:p>
            <w:pPr>
              <w:pStyle w:val="TableContents"/>
              <w:bidi w:val="0"/>
              <w:spacing w:before="0" w:after="283"/>
              <w:jc w:val="left"/>
              <w:rPr/>
            </w:pPr>
            <w:r>
              <w:rPr/>
              <w:t>  </w:t>
            </w:r>
          </w:p>
        </w:tc>
        <w:tc>
          <w:tcPr>
            <w:tcW w:w="4911" w:type="dxa"/>
            <w:tcBorders/>
          </w:tcPr>
          <w:p>
            <w:pPr>
              <w:pStyle w:val="TableContents"/>
              <w:bidi w:val="0"/>
              <w:spacing w:before="0" w:after="0"/>
              <w:jc w:val="both"/>
              <w:rPr>
                <w:rFonts w:ascii="Times New Roman" w:hAnsi="Times New Roman"/>
                <w:sz w:val="20"/>
              </w:rPr>
            </w:pPr>
            <w:r>
              <w:rPr>
                <w:rFonts w:ascii="Times New Roman" w:hAnsi="Times New Roman"/>
                <w:sz w:val="20"/>
              </w:rPr>
              <w:t>Investing in our common stock involves a high degree of risk. You should read the section titled “Risk Factors” in this prospectus for a discussion of factors to consider carefully before deciding to invest in shares of our common stock.</w:t>
            </w:r>
          </w:p>
        </w:tc>
      </w:tr>
      <w:tr>
        <w:trPr>
          <w:trHeight w:val="75" w:hRule="atLeast"/>
        </w:trPr>
        <w:tc>
          <w:tcPr>
            <w:tcW w:w="5172" w:type="dxa"/>
            <w:tcBorders/>
            <w:vAlign w:val="center"/>
          </w:tcPr>
          <w:p>
            <w:pPr>
              <w:pStyle w:val="TableContents"/>
              <w:bidi w:val="0"/>
              <w:spacing w:before="0" w:after="283"/>
              <w:jc w:val="left"/>
              <w:rPr>
                <w:sz w:val="4"/>
                <w:szCs w:val="4"/>
              </w:rPr>
            </w:pPr>
            <w:r>
              <w:rPr>
                <w:sz w:val="4"/>
                <w:szCs w:val="4"/>
              </w:rPr>
            </w:r>
          </w:p>
        </w:tc>
        <w:tc>
          <w:tcPr>
            <w:tcW w:w="5033" w:type="dxa"/>
            <w:gridSpan w:val="2"/>
            <w:tcBorders/>
            <w:vAlign w:val="center"/>
          </w:tcPr>
          <w:p>
            <w:pPr>
              <w:pStyle w:val="TableContents"/>
              <w:bidi w:val="0"/>
              <w:spacing w:before="0" w:after="283"/>
              <w:jc w:val="left"/>
              <w:rPr>
                <w:sz w:val="4"/>
                <w:szCs w:val="4"/>
              </w:rPr>
            </w:pPr>
            <w:r>
              <w:rPr>
                <w:sz w:val="4"/>
                <w:szCs w:val="4"/>
              </w:rPr>
            </w:r>
          </w:p>
        </w:tc>
      </w:tr>
      <w:tr>
        <w:trPr/>
        <w:tc>
          <w:tcPr>
            <w:tcW w:w="5172" w:type="dxa"/>
            <w:tcBorders/>
          </w:tcPr>
          <w:p>
            <w:pPr>
              <w:pStyle w:val="TableContents"/>
              <w:bidi w:val="0"/>
              <w:spacing w:before="0" w:after="0"/>
              <w:jc w:val="left"/>
              <w:rPr>
                <w:rFonts w:ascii="Times New Roman" w:hAnsi="Times New Roman"/>
                <w:sz w:val="20"/>
              </w:rPr>
            </w:pPr>
            <w:r>
              <w:rPr>
                <w:rFonts w:ascii="Times New Roman" w:hAnsi="Times New Roman"/>
                <w:sz w:val="20"/>
              </w:rPr>
              <w:t>Proposed Nasdaq trading symbol</w:t>
            </w:r>
          </w:p>
        </w:tc>
        <w:tc>
          <w:tcPr>
            <w:tcW w:w="122" w:type="dxa"/>
            <w:tcBorders/>
            <w:vAlign w:val="bottom"/>
          </w:tcPr>
          <w:p>
            <w:pPr>
              <w:pStyle w:val="TableContents"/>
              <w:bidi w:val="0"/>
              <w:spacing w:before="0" w:after="283"/>
              <w:jc w:val="left"/>
              <w:rPr/>
            </w:pPr>
            <w:r>
              <w:rPr/>
              <w:t>  </w:t>
            </w:r>
          </w:p>
        </w:tc>
        <w:tc>
          <w:tcPr>
            <w:tcW w:w="4911" w:type="dxa"/>
            <w:tcBorders/>
          </w:tcPr>
          <w:p>
            <w:pPr>
              <w:pStyle w:val="TableContents"/>
              <w:bidi w:val="0"/>
              <w:spacing w:before="0" w:after="0"/>
              <w:jc w:val="both"/>
              <w:rPr>
                <w:rFonts w:ascii="Times New Roman" w:hAnsi="Times New Roman"/>
                <w:sz w:val="20"/>
              </w:rPr>
            </w:pPr>
            <w:r>
              <w:rPr>
                <w:rFonts w:ascii="Times New Roman" w:hAnsi="Times New Roman"/>
                <w:sz w:val="20"/>
              </w:rPr>
              <w:t>We have applied to list our common stock on Nasdaq under the symbol “ATTO.” The closing of this offering is contingent upon such listing.</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to be outstanding after this offering is based on (i) 4,511,041 shares of our common stock outstanding as of March 31, 2026, including 315,673 shares of unvested restricted stock subject to repurchase and (ii) the automatic conversion of all shares of our outstanding redeemable convertible preferred stock as of March 31, 2026 into an aggregate of 21,517,976 shares of our common stock in connection with the completion of this offering,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2,704,695 shares of our common stock issuable upon the exercise of stock options outstanding as of March 31, 2026 under our 2023 Equity Incentive Plan (2023 Plan), with a weighted-average exercise price of $4.03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87,914 shares of our common stock issuable upon the exercise of stock options granted after March 31, 2026 under our 2023 Plan, with a weighted-average exercise price of $9.07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5,283,264 shares of our common stock reserved for future issuance under our 2026 Equity Incentive Plan (2026 Plan), which will become effective in connection with this offering (including 383,264 shares reserved for issuance under our 2023 Plan, which shares will be added to the 2026 Plan upon its effectiveness, and 1,642,700 shares of common stock issuable upon the exercise of options we expect to grant to certain of our directors, executive officers, other employees and consultants pursuant to the 2026 Plan immediately following effectiveness of the registration statement of which this prospectus forms a part at an exercise price equal to the initial public offering price per share);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410,000 shares of our common stock to be reserved for future issuance under our 2026 Employee Stock Purchase Plan (ESPP), which will become effective in connection with this offering. </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Our 2026 Plan and our ESPP provide for automatic annual increases in the number of shares of our common stock reserved thereunder. For additional information regarding our 2023 Plan, 2026 Plan and ESPP, see the section titled “Executive Compensation—Equity Compensation Plans and Other Benefit Plans.”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Except as otherwise indicated, all information in this prospectus assumes or gives effect to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automatic conversion of all shares of our redeemable convertible preferred stock outstanding as of March 31, 2026 into an aggregate of 21,517,976 shares of our common stock in connection with the completion of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1-for-9.29 reverse stock split of our outstanding common stock, which was effected on July 29,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outstanding shares include 315,673 shares of unvested stock subject to repurchase as of March 31,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adoption, filing, and effectiveness of our restated certificate of incorporation and restated bylaws, each of which will occur immediately prior to the completion of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 exercise of outstanding options described above;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 exercise by the underwriters of their over-allotment option.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Consolidated Financial Data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following tables set forth our summary consolidated statements of operations and comprehensive loss and condensed balance sheet data as of the dates indicated. The summary consolidated statements of operations and comprehensive loss data for the years ended December 31, 2024 and 2025 are derived from our audited consolidated financial statements included elsewhere in this prospectus. The summary interim condensed consolidated statements of operations and comprehensive loss data for the three months ended March 31, 2025 and 2026, and the summary interim condensed consolidated balance sheet data as of March 31, 2026, have been derived from our unaudited interim condensed consolidated financial statements included elsewhere in this prospectus. Our audited consolidated financial statements and unaudited interim condensed consolidated financial statements included elsewhere in this prospectus have been prepared in accordance with U.S. generally accepted accounting principles (U.S. GAAP). Our unaudited interim condensed consolidated financial statements were prepared on a basis consistent with our audited consolidated financial statements and include, in our opinion, all adjustments of a normal and recurring nature that are necessary for the fair statement of the financial information set forth in those statements included elsewhere in this prospectus. The following summary financial data should be read in conjunction with the section titled “Management’s Discussion and Analysis of Financial Condition and Results of Operations” and our audited consolidated financial statements and unaudited interim condensed consolidated financial statements and the related notes included elsewhere in this prospectus. Our historical results are not necessarily indicative of the results that may be expected in any future period and results for the three months ended March 31, 2026 are not necessarily indicative of results to be expected for the year ending December 31, 2026. The summary consolidated financial data in this section are not intended to replace our consolidated financial statements and are qualified in their entirety by the consolidated financial statements and related notes included elsewhere in this prospectus.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4343"/>
        <w:gridCol w:w="198"/>
        <w:gridCol w:w="163"/>
        <w:gridCol w:w="880"/>
        <w:gridCol w:w="180"/>
        <w:gridCol w:w="159"/>
        <w:gridCol w:w="163"/>
        <w:gridCol w:w="880"/>
        <w:gridCol w:w="180"/>
        <w:gridCol w:w="159"/>
        <w:gridCol w:w="179"/>
        <w:gridCol w:w="1002"/>
        <w:gridCol w:w="202"/>
        <w:gridCol w:w="165"/>
        <w:gridCol w:w="179"/>
        <w:gridCol w:w="1009"/>
        <w:gridCol w:w="164"/>
      </w:tblGrid>
      <w:tr>
        <w:trPr/>
        <w:tc>
          <w:tcPr>
            <w:tcW w:w="4343"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43"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2425"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p>
        </w:tc>
        <w:tc>
          <w:tcPr>
            <w:tcW w:w="18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2736" w:type="dxa"/>
            <w:gridSpan w:val="6"/>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March 31,</w:t>
            </w:r>
          </w:p>
        </w:tc>
        <w:tc>
          <w:tcPr>
            <w:tcW w:w="164" w:type="dxa"/>
            <w:tcBorders/>
            <w:vAlign w:val="bottom"/>
          </w:tcPr>
          <w:p>
            <w:pPr>
              <w:pStyle w:val="TableContents"/>
              <w:bidi w:val="0"/>
              <w:spacing w:before="0" w:after="283"/>
              <w:jc w:val="left"/>
              <w:rPr/>
            </w:pPr>
            <w:r>
              <w:rPr/>
              <w:t> </w:t>
            </w:r>
          </w:p>
        </w:tc>
      </w:tr>
      <w:tr>
        <w:trPr/>
        <w:tc>
          <w:tcPr>
            <w:tcW w:w="4343"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0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8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8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0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1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4" w:type="dxa"/>
            <w:tcBorders/>
            <w:vAlign w:val="bottom"/>
          </w:tcPr>
          <w:p>
            <w:pPr>
              <w:pStyle w:val="TableContents"/>
              <w:bidi w:val="0"/>
              <w:spacing w:before="0" w:after="283"/>
              <w:jc w:val="left"/>
              <w:rPr/>
            </w:pPr>
            <w:r>
              <w:rPr/>
              <w:t> </w:t>
            </w:r>
          </w:p>
        </w:tc>
      </w:tr>
      <w:tr>
        <w:trPr/>
        <w:tc>
          <w:tcPr>
            <w:tcW w:w="4343"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5500" w:type="dxa"/>
            <w:gridSpan w:val="14"/>
            <w:tcBorders/>
            <w:vAlign w:val="bottom"/>
          </w:tcPr>
          <w:p>
            <w:pPr>
              <w:pStyle w:val="TableContents"/>
              <w:bidi w:val="0"/>
              <w:spacing w:before="0" w:after="283"/>
              <w:jc w:val="center"/>
              <w:rPr>
                <w:b/>
              </w:rPr>
            </w:pPr>
            <w:r>
              <w:rPr>
                <w:b/>
              </w:rPr>
              <w:t>(in thousands, except share and per share amounts)</w:t>
            </w:r>
          </w:p>
        </w:tc>
        <w:tc>
          <w:tcPr>
            <w:tcW w:w="164" w:type="dxa"/>
            <w:tcBorders/>
            <w:vAlign w:val="bottom"/>
          </w:tcPr>
          <w:p>
            <w:pPr>
              <w:pStyle w:val="TableContents"/>
              <w:bidi w:val="0"/>
              <w:spacing w:before="0" w:after="283"/>
              <w:jc w:val="left"/>
              <w:rPr/>
            </w:pPr>
            <w:r>
              <w:rPr/>
              <w:t> </w:t>
            </w:r>
          </w:p>
        </w:tc>
      </w:tr>
      <w:tr>
        <w:trPr/>
        <w:tc>
          <w:tcPr>
            <w:tcW w:w="434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Consolidated Statements of Operations Data:</w:t>
            </w:r>
          </w:p>
        </w:tc>
        <w:tc>
          <w:tcPr>
            <w:tcW w:w="198"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880"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880"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1009"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4343" w:type="dxa"/>
            <w:tcBorders/>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98"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88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88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sz w:val="4"/>
                <w:szCs w:val="4"/>
              </w:rPr>
            </w:pPr>
            <w:r>
              <w:rPr>
                <w:sz w:val="4"/>
                <w:szCs w:val="4"/>
              </w:rPr>
            </w:r>
          </w:p>
        </w:tc>
        <w:tc>
          <w:tcPr>
            <w:tcW w:w="100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4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Collaboration revenue</w:t>
            </w:r>
          </w:p>
        </w:tc>
        <w:tc>
          <w:tcPr>
            <w:tcW w:w="198"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— </w:t>
            </w:r>
          </w:p>
        </w:tc>
        <w:tc>
          <w:tcPr>
            <w:tcW w:w="18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1,350</w:t>
            </w:r>
          </w:p>
        </w:tc>
        <w:tc>
          <w:tcPr>
            <w:tcW w:w="18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1002"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1009"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4343"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8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8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202"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343"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98"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18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1,350</w:t>
            </w:r>
          </w:p>
        </w:tc>
        <w:tc>
          <w:tcPr>
            <w:tcW w:w="18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— </w:t>
            </w:r>
          </w:p>
        </w:tc>
        <w:tc>
          <w:tcPr>
            <w:tcW w:w="20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4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98"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880"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880"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1009"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4343"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98"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33,864</w:t>
            </w:r>
          </w:p>
        </w:tc>
        <w:tc>
          <w:tcPr>
            <w:tcW w:w="18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54,153</w:t>
            </w:r>
          </w:p>
        </w:tc>
        <w:tc>
          <w:tcPr>
            <w:tcW w:w="18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11,856</w:t>
            </w:r>
          </w:p>
        </w:tc>
        <w:tc>
          <w:tcPr>
            <w:tcW w:w="20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16,746</w:t>
            </w:r>
          </w:p>
        </w:tc>
        <w:tc>
          <w:tcPr>
            <w:tcW w:w="164" w:type="dxa"/>
            <w:tcBorders/>
            <w:vAlign w:val="bottom"/>
          </w:tcPr>
          <w:p>
            <w:pPr>
              <w:pStyle w:val="TableContents"/>
              <w:bidi w:val="0"/>
              <w:spacing w:before="0" w:after="283"/>
              <w:jc w:val="left"/>
              <w:rPr/>
            </w:pPr>
            <w:r>
              <w:rPr/>
              <w:t> </w:t>
            </w:r>
          </w:p>
        </w:tc>
      </w:tr>
      <w:tr>
        <w:trPr/>
        <w:tc>
          <w:tcPr>
            <w:tcW w:w="4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98"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7,689</w:t>
            </w:r>
          </w:p>
        </w:tc>
        <w:tc>
          <w:tcPr>
            <w:tcW w:w="18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14,356</w:t>
            </w:r>
          </w:p>
        </w:tc>
        <w:tc>
          <w:tcPr>
            <w:tcW w:w="18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4,248</w:t>
            </w:r>
          </w:p>
        </w:tc>
        <w:tc>
          <w:tcPr>
            <w:tcW w:w="20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3,209</w:t>
            </w:r>
          </w:p>
        </w:tc>
        <w:tc>
          <w:tcPr>
            <w:tcW w:w="164" w:type="dxa"/>
            <w:tcBorders/>
            <w:shd w:fill="CCEEFF" w:val="clear"/>
            <w:vAlign w:val="bottom"/>
          </w:tcPr>
          <w:p>
            <w:pPr>
              <w:pStyle w:val="TableContents"/>
              <w:bidi w:val="0"/>
              <w:spacing w:before="0" w:after="283"/>
              <w:jc w:val="left"/>
              <w:rPr/>
            </w:pPr>
            <w:r>
              <w:rPr/>
              <w:t> </w:t>
            </w:r>
          </w:p>
        </w:tc>
      </w:tr>
      <w:tr>
        <w:trPr/>
        <w:tc>
          <w:tcPr>
            <w:tcW w:w="4343"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8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8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202"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343"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98"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41,553</w:t>
            </w:r>
          </w:p>
        </w:tc>
        <w:tc>
          <w:tcPr>
            <w:tcW w:w="18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68,509</w:t>
            </w:r>
          </w:p>
        </w:tc>
        <w:tc>
          <w:tcPr>
            <w:tcW w:w="18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16,104</w:t>
            </w:r>
          </w:p>
        </w:tc>
        <w:tc>
          <w:tcPr>
            <w:tcW w:w="20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19,955</w:t>
            </w:r>
          </w:p>
        </w:tc>
        <w:tc>
          <w:tcPr>
            <w:tcW w:w="164" w:type="dxa"/>
            <w:tcBorders/>
            <w:vAlign w:val="bottom"/>
          </w:tcPr>
          <w:p>
            <w:pPr>
              <w:pStyle w:val="TableContents"/>
              <w:bidi w:val="0"/>
              <w:spacing w:before="0" w:after="283"/>
              <w:jc w:val="left"/>
              <w:rPr/>
            </w:pPr>
            <w:r>
              <w:rPr/>
              <w:t> </w:t>
            </w:r>
          </w:p>
        </w:tc>
      </w:tr>
      <w:tr>
        <w:trPr/>
        <w:tc>
          <w:tcPr>
            <w:tcW w:w="4343"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8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8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202"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98"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(41,553</w:t>
            </w:r>
          </w:p>
        </w:tc>
        <w:tc>
          <w:tcPr>
            <w:tcW w:w="18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(67,159</w:t>
            </w:r>
          </w:p>
        </w:tc>
        <w:tc>
          <w:tcPr>
            <w:tcW w:w="18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(16,104</w:t>
            </w:r>
          </w:p>
        </w:tc>
        <w:tc>
          <w:tcPr>
            <w:tcW w:w="20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(19,955</w:t>
            </w:r>
          </w:p>
        </w:tc>
        <w:tc>
          <w:tcPr>
            <w:tcW w:w="164" w:type="dxa"/>
            <w:tcBorders/>
            <w:shd w:fill="CCEEFF" w:val="clear"/>
            <w:vAlign w:val="bottom"/>
          </w:tcPr>
          <w:p>
            <w:pPr>
              <w:pStyle w:val="TableContents"/>
              <w:bidi w:val="0"/>
              <w:spacing w:before="0" w:after="283"/>
              <w:jc w:val="left"/>
              <w:rPr/>
            </w:pPr>
            <w:r>
              <w:rPr/>
              <w:t>) </w:t>
            </w:r>
          </w:p>
        </w:tc>
      </w:tr>
      <w:tr>
        <w:trPr/>
        <w:tc>
          <w:tcPr>
            <w:tcW w:w="4343"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98"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88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88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sz w:val="4"/>
                <w:szCs w:val="4"/>
              </w:rPr>
            </w:pPr>
            <w:r>
              <w:rPr>
                <w:sz w:val="4"/>
                <w:szCs w:val="4"/>
              </w:rPr>
            </w:r>
          </w:p>
        </w:tc>
        <w:tc>
          <w:tcPr>
            <w:tcW w:w="100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4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98"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3,437</w:t>
            </w:r>
          </w:p>
        </w:tc>
        <w:tc>
          <w:tcPr>
            <w:tcW w:w="18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6,627</w:t>
            </w:r>
          </w:p>
        </w:tc>
        <w:tc>
          <w:tcPr>
            <w:tcW w:w="18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1,126</w:t>
            </w:r>
          </w:p>
        </w:tc>
        <w:tc>
          <w:tcPr>
            <w:tcW w:w="20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1,326</w:t>
            </w:r>
          </w:p>
        </w:tc>
        <w:tc>
          <w:tcPr>
            <w:tcW w:w="164" w:type="dxa"/>
            <w:tcBorders/>
            <w:shd w:fill="CCEEFF" w:val="clear"/>
            <w:vAlign w:val="bottom"/>
          </w:tcPr>
          <w:p>
            <w:pPr>
              <w:pStyle w:val="TableContents"/>
              <w:bidi w:val="0"/>
              <w:spacing w:before="0" w:after="283"/>
              <w:jc w:val="left"/>
              <w:rPr/>
            </w:pPr>
            <w:r>
              <w:rPr/>
              <w:t> </w:t>
            </w:r>
          </w:p>
        </w:tc>
      </w:tr>
      <w:tr>
        <w:trPr/>
        <w:tc>
          <w:tcPr>
            <w:tcW w:w="4343"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preferred stock tranche liability</w:t>
            </w:r>
          </w:p>
        </w:tc>
        <w:tc>
          <w:tcPr>
            <w:tcW w:w="198"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(1,674</w:t>
            </w:r>
          </w:p>
        </w:tc>
        <w:tc>
          <w:tcPr>
            <w:tcW w:w="18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(170</w:t>
            </w:r>
          </w:p>
        </w:tc>
        <w:tc>
          <w:tcPr>
            <w:tcW w:w="18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(170</w:t>
            </w:r>
          </w:p>
        </w:tc>
        <w:tc>
          <w:tcPr>
            <w:tcW w:w="20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4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98"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(11</w:t>
            </w:r>
          </w:p>
        </w:tc>
        <w:tc>
          <w:tcPr>
            <w:tcW w:w="18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75</w:t>
            </w:r>
          </w:p>
        </w:tc>
        <w:tc>
          <w:tcPr>
            <w:tcW w:w="18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(3</w:t>
            </w:r>
          </w:p>
        </w:tc>
        <w:tc>
          <w:tcPr>
            <w:tcW w:w="20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(27</w:t>
            </w:r>
          </w:p>
        </w:tc>
        <w:tc>
          <w:tcPr>
            <w:tcW w:w="164" w:type="dxa"/>
            <w:tcBorders/>
            <w:shd w:fill="CCEEFF" w:val="clear"/>
            <w:vAlign w:val="bottom"/>
          </w:tcPr>
          <w:p>
            <w:pPr>
              <w:pStyle w:val="TableContents"/>
              <w:bidi w:val="0"/>
              <w:spacing w:before="0" w:after="283"/>
              <w:jc w:val="left"/>
              <w:rPr/>
            </w:pPr>
            <w:r>
              <w:rPr/>
              <w:t>) </w:t>
            </w:r>
          </w:p>
        </w:tc>
      </w:tr>
      <w:tr>
        <w:trPr/>
        <w:tc>
          <w:tcPr>
            <w:tcW w:w="4343"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8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8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202"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343"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198"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1,752</w:t>
            </w:r>
          </w:p>
        </w:tc>
        <w:tc>
          <w:tcPr>
            <w:tcW w:w="18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6,532</w:t>
            </w:r>
          </w:p>
        </w:tc>
        <w:tc>
          <w:tcPr>
            <w:tcW w:w="18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953</w:t>
            </w:r>
          </w:p>
        </w:tc>
        <w:tc>
          <w:tcPr>
            <w:tcW w:w="20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1,299</w:t>
            </w:r>
          </w:p>
        </w:tc>
        <w:tc>
          <w:tcPr>
            <w:tcW w:w="164" w:type="dxa"/>
            <w:tcBorders/>
            <w:vAlign w:val="bottom"/>
          </w:tcPr>
          <w:p>
            <w:pPr>
              <w:pStyle w:val="TableContents"/>
              <w:bidi w:val="0"/>
              <w:spacing w:before="0" w:after="283"/>
              <w:jc w:val="left"/>
              <w:rPr/>
            </w:pPr>
            <w:r>
              <w:rPr/>
              <w:t> </w:t>
            </w:r>
          </w:p>
        </w:tc>
      </w:tr>
      <w:tr>
        <w:trPr/>
        <w:tc>
          <w:tcPr>
            <w:tcW w:w="4343"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8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8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202"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98"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(39,801</w:t>
            </w:r>
          </w:p>
        </w:tc>
        <w:tc>
          <w:tcPr>
            <w:tcW w:w="18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(60,627</w:t>
            </w:r>
          </w:p>
        </w:tc>
        <w:tc>
          <w:tcPr>
            <w:tcW w:w="18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1002" w:type="dxa"/>
            <w:tcBorders/>
            <w:shd w:fill="CCEEFF" w:val="clear"/>
            <w:vAlign w:val="bottom"/>
          </w:tcPr>
          <w:p>
            <w:pPr>
              <w:pStyle w:val="TableContents"/>
              <w:bidi w:val="0"/>
              <w:spacing w:before="0" w:after="283"/>
              <w:jc w:val="right"/>
              <w:rPr/>
            </w:pPr>
            <w:r>
              <w:rPr/>
              <w:t>(15,151</w:t>
            </w:r>
          </w:p>
        </w:tc>
        <w:tc>
          <w:tcPr>
            <w:tcW w:w="20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1009" w:type="dxa"/>
            <w:tcBorders/>
            <w:shd w:fill="CCEEFF" w:val="clear"/>
            <w:vAlign w:val="bottom"/>
          </w:tcPr>
          <w:p>
            <w:pPr>
              <w:pStyle w:val="TableContents"/>
              <w:bidi w:val="0"/>
              <w:spacing w:before="0" w:after="283"/>
              <w:jc w:val="right"/>
              <w:rPr/>
            </w:pPr>
            <w:r>
              <w:rPr/>
              <w:t>(18,656</w:t>
            </w:r>
          </w:p>
        </w:tc>
        <w:tc>
          <w:tcPr>
            <w:tcW w:w="164" w:type="dxa"/>
            <w:tcBorders/>
            <w:shd w:fill="CCEEFF" w:val="clear"/>
            <w:vAlign w:val="bottom"/>
          </w:tcPr>
          <w:p>
            <w:pPr>
              <w:pStyle w:val="TableContents"/>
              <w:bidi w:val="0"/>
              <w:spacing w:before="0" w:after="283"/>
              <w:jc w:val="left"/>
              <w:rPr/>
            </w:pPr>
            <w:r>
              <w:rPr/>
              <w:t>) </w:t>
            </w:r>
          </w:p>
        </w:tc>
      </w:tr>
      <w:tr>
        <w:trPr/>
        <w:tc>
          <w:tcPr>
            <w:tcW w:w="4343" w:type="dxa"/>
            <w:tcBorders/>
          </w:tcPr>
          <w:p>
            <w:pPr>
              <w:pStyle w:val="TableContents"/>
              <w:bidi w:val="0"/>
              <w:spacing w:before="0" w:after="0"/>
              <w:jc w:val="left"/>
              <w:rPr>
                <w:rFonts w:ascii="Times New Roman" w:hAnsi="Times New Roman"/>
                <w:sz w:val="20"/>
              </w:rPr>
            </w:pPr>
            <w:r>
              <w:rPr>
                <w:rFonts w:ascii="Times New Roman" w:hAnsi="Times New Roman"/>
                <w:sz w:val="20"/>
              </w:rPr>
              <w:t>Less: accretion of redeemable convertible preferred stock to its redemption value</w:t>
            </w:r>
          </w:p>
        </w:tc>
        <w:tc>
          <w:tcPr>
            <w:tcW w:w="198"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(5,245</w:t>
            </w:r>
          </w:p>
        </w:tc>
        <w:tc>
          <w:tcPr>
            <w:tcW w:w="18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(271</w:t>
            </w:r>
          </w:p>
        </w:tc>
        <w:tc>
          <w:tcPr>
            <w:tcW w:w="18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(271</w:t>
            </w:r>
          </w:p>
        </w:tc>
        <w:tc>
          <w:tcPr>
            <w:tcW w:w="20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4343"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8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8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202"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198"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(45,046</w:t>
            </w:r>
          </w:p>
        </w:tc>
        <w:tc>
          <w:tcPr>
            <w:tcW w:w="18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(60,898</w:t>
            </w:r>
          </w:p>
        </w:tc>
        <w:tc>
          <w:tcPr>
            <w:tcW w:w="18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1002" w:type="dxa"/>
            <w:tcBorders/>
            <w:shd w:fill="CCEEFF" w:val="clear"/>
            <w:vAlign w:val="bottom"/>
          </w:tcPr>
          <w:p>
            <w:pPr>
              <w:pStyle w:val="TableContents"/>
              <w:bidi w:val="0"/>
              <w:spacing w:before="0" w:after="283"/>
              <w:jc w:val="right"/>
              <w:rPr/>
            </w:pPr>
            <w:r>
              <w:rPr/>
              <w:t>(15,422</w:t>
            </w:r>
          </w:p>
        </w:tc>
        <w:tc>
          <w:tcPr>
            <w:tcW w:w="20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1009" w:type="dxa"/>
            <w:tcBorders/>
            <w:shd w:fill="CCEEFF" w:val="clear"/>
            <w:vAlign w:val="bottom"/>
          </w:tcPr>
          <w:p>
            <w:pPr>
              <w:pStyle w:val="TableContents"/>
              <w:bidi w:val="0"/>
              <w:spacing w:before="0" w:after="283"/>
              <w:jc w:val="right"/>
              <w:rPr/>
            </w:pPr>
            <w:r>
              <w:rPr/>
              <w:t>(18,656</w:t>
            </w:r>
          </w:p>
        </w:tc>
        <w:tc>
          <w:tcPr>
            <w:tcW w:w="164" w:type="dxa"/>
            <w:tcBorders/>
            <w:shd w:fill="CCEEFF" w:val="clear"/>
            <w:vAlign w:val="bottom"/>
          </w:tcPr>
          <w:p>
            <w:pPr>
              <w:pStyle w:val="TableContents"/>
              <w:bidi w:val="0"/>
              <w:spacing w:before="0" w:after="283"/>
              <w:jc w:val="left"/>
              <w:rPr/>
            </w:pPr>
            <w:r>
              <w:rPr/>
              <w:t>) </w:t>
            </w:r>
          </w:p>
        </w:tc>
      </w:tr>
      <w:tr>
        <w:trPr/>
        <w:tc>
          <w:tcPr>
            <w:tcW w:w="4343"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18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18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double" w:sz="6" w:space="1" w:color="000000"/>
              </w:pBdr>
              <w:bidi w:val="0"/>
              <w:spacing w:before="0" w:after="0"/>
              <w:jc w:val="left"/>
              <w:rPr/>
            </w:pPr>
            <w:r>
              <w:rPr/>
              <w:t> </w:t>
            </w:r>
          </w:p>
        </w:tc>
        <w:tc>
          <w:tcPr>
            <w:tcW w:w="1002" w:type="dxa"/>
            <w:tcBorders/>
            <w:vAlign w:val="bottom"/>
          </w:tcPr>
          <w:p>
            <w:pPr>
              <w:pStyle w:val="TableContents"/>
              <w:pBdr>
                <w:top w:val="double" w:sz="6" w:space="1" w:color="000000"/>
              </w:pBdr>
              <w:bidi w:val="0"/>
              <w:spacing w:before="0" w:after="0"/>
              <w:jc w:val="left"/>
              <w:rPr/>
            </w:pPr>
            <w:r>
              <w:rPr/>
              <w:t> </w:t>
            </w:r>
          </w:p>
        </w:tc>
        <w:tc>
          <w:tcPr>
            <w:tcW w:w="202"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double" w:sz="6" w:space="1" w:color="000000"/>
              </w:pBdr>
              <w:bidi w:val="0"/>
              <w:spacing w:before="0" w:after="0"/>
              <w:jc w:val="left"/>
              <w:rPr/>
            </w:pPr>
            <w:r>
              <w:rPr/>
              <w:t> </w:t>
            </w:r>
          </w:p>
        </w:tc>
        <w:tc>
          <w:tcPr>
            <w:tcW w:w="1009"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751"/>
        <w:gridCol w:w="264"/>
        <w:gridCol w:w="140"/>
        <w:gridCol w:w="1003"/>
        <w:gridCol w:w="155"/>
        <w:gridCol w:w="264"/>
        <w:gridCol w:w="140"/>
        <w:gridCol w:w="1104"/>
        <w:gridCol w:w="155"/>
        <w:gridCol w:w="264"/>
        <w:gridCol w:w="140"/>
        <w:gridCol w:w="1003"/>
        <w:gridCol w:w="155"/>
        <w:gridCol w:w="264"/>
        <w:gridCol w:w="140"/>
        <w:gridCol w:w="1104"/>
        <w:gridCol w:w="159"/>
      </w:tblGrid>
      <w:tr>
        <w:trPr/>
        <w:tc>
          <w:tcPr>
            <w:tcW w:w="3751"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1"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2806"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p>
        </w:tc>
        <w:tc>
          <w:tcPr>
            <w:tcW w:w="15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2806" w:type="dxa"/>
            <w:gridSpan w:val="6"/>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March 31,</w:t>
            </w:r>
          </w:p>
        </w:tc>
        <w:tc>
          <w:tcPr>
            <w:tcW w:w="159" w:type="dxa"/>
            <w:tcBorders/>
            <w:vAlign w:val="bottom"/>
          </w:tcPr>
          <w:p>
            <w:pPr>
              <w:pStyle w:val="TableContents"/>
              <w:bidi w:val="0"/>
              <w:spacing w:before="0" w:after="283"/>
              <w:jc w:val="left"/>
              <w:rPr/>
            </w:pPr>
            <w:r>
              <w:rPr/>
              <w:t> </w:t>
            </w:r>
          </w:p>
        </w:tc>
      </w:tr>
      <w:tr>
        <w:trPr/>
        <w:tc>
          <w:tcPr>
            <w:tcW w:w="3751"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1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1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9" w:type="dxa"/>
            <w:tcBorders/>
            <w:vAlign w:val="bottom"/>
          </w:tcPr>
          <w:p>
            <w:pPr>
              <w:pStyle w:val="TableContents"/>
              <w:bidi w:val="0"/>
              <w:spacing w:before="0" w:after="283"/>
              <w:jc w:val="left"/>
              <w:rPr/>
            </w:pPr>
            <w:r>
              <w:rPr/>
              <w:t> </w:t>
            </w:r>
          </w:p>
        </w:tc>
      </w:tr>
      <w:tr>
        <w:trPr/>
        <w:tc>
          <w:tcPr>
            <w:tcW w:w="3751"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6031" w:type="dxa"/>
            <w:gridSpan w:val="14"/>
            <w:tcBorders/>
            <w:vAlign w:val="bottom"/>
          </w:tcPr>
          <w:p>
            <w:pPr>
              <w:pStyle w:val="TableContents"/>
              <w:bidi w:val="0"/>
              <w:spacing w:before="0" w:after="283"/>
              <w:jc w:val="center"/>
              <w:rPr>
                <w:b/>
              </w:rPr>
            </w:pPr>
            <w:r>
              <w:rPr>
                <w:b/>
              </w:rPr>
              <w:t>(in thousands, except share and per share amounts)</w:t>
            </w:r>
          </w:p>
        </w:tc>
        <w:tc>
          <w:tcPr>
            <w:tcW w:w="159" w:type="dxa"/>
            <w:tcBorders/>
            <w:vAlign w:val="bottom"/>
          </w:tcPr>
          <w:p>
            <w:pPr>
              <w:pStyle w:val="TableContents"/>
              <w:bidi w:val="0"/>
              <w:spacing w:before="0" w:after="283"/>
              <w:jc w:val="left"/>
              <w:rPr/>
            </w:pPr>
            <w:r>
              <w:rPr/>
              <w:t> </w:t>
            </w:r>
          </w:p>
        </w:tc>
      </w:tr>
      <w:tr>
        <w:trPr/>
        <w:tc>
          <w:tcPr>
            <w:tcW w:w="3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diluted(1)</w:t>
            </w:r>
          </w:p>
        </w:tc>
        <w:tc>
          <w:tcPr>
            <w:tcW w:w="2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3" w:type="dxa"/>
            <w:tcBorders/>
            <w:shd w:fill="CCEEFF" w:val="clear"/>
            <w:vAlign w:val="bottom"/>
          </w:tcPr>
          <w:p>
            <w:pPr>
              <w:pStyle w:val="TableContents"/>
              <w:bidi w:val="0"/>
              <w:spacing w:before="0" w:after="283"/>
              <w:jc w:val="right"/>
              <w:rPr/>
            </w:pPr>
            <w:r>
              <w:rPr/>
              <w:t>(12.76</w:t>
            </w:r>
          </w:p>
        </w:tc>
        <w:tc>
          <w:tcPr>
            <w:tcW w:w="155"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(15.42</w:t>
            </w:r>
          </w:p>
        </w:tc>
        <w:tc>
          <w:tcPr>
            <w:tcW w:w="155"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3" w:type="dxa"/>
            <w:tcBorders/>
            <w:shd w:fill="CCEEFF" w:val="clear"/>
            <w:vAlign w:val="bottom"/>
          </w:tcPr>
          <w:p>
            <w:pPr>
              <w:pStyle w:val="TableContents"/>
              <w:bidi w:val="0"/>
              <w:spacing w:before="0" w:after="283"/>
              <w:jc w:val="right"/>
              <w:rPr/>
            </w:pPr>
            <w:r>
              <w:rPr/>
              <w:t>(4.05</w:t>
            </w:r>
          </w:p>
        </w:tc>
        <w:tc>
          <w:tcPr>
            <w:tcW w:w="155"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(4.49</w:t>
            </w:r>
          </w:p>
        </w:tc>
        <w:tc>
          <w:tcPr>
            <w:tcW w:w="159" w:type="dxa"/>
            <w:tcBorders/>
            <w:shd w:fill="CCEEFF" w:val="clear"/>
            <w:vAlign w:val="bottom"/>
          </w:tcPr>
          <w:p>
            <w:pPr>
              <w:pStyle w:val="TableContents"/>
              <w:bidi w:val="0"/>
              <w:spacing w:before="0" w:after="283"/>
              <w:jc w:val="left"/>
              <w:rPr/>
            </w:pPr>
            <w:r>
              <w:rPr/>
              <w:t>) </w:t>
            </w:r>
          </w:p>
        </w:tc>
      </w:tr>
      <w:tr>
        <w:trPr/>
        <w:tc>
          <w:tcPr>
            <w:tcW w:w="3751"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shares of common stock outstanding, basic and diluted(1)</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3,531,390</w:t>
            </w:r>
          </w:p>
        </w:tc>
        <w:tc>
          <w:tcPr>
            <w:tcW w:w="15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3,949,438</w:t>
            </w:r>
          </w:p>
        </w:tc>
        <w:tc>
          <w:tcPr>
            <w:tcW w:w="15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3,806,722</w:t>
            </w:r>
          </w:p>
        </w:tc>
        <w:tc>
          <w:tcPr>
            <w:tcW w:w="15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4,153,167</w:t>
            </w:r>
          </w:p>
        </w:tc>
        <w:tc>
          <w:tcPr>
            <w:tcW w:w="159" w:type="dxa"/>
            <w:tcBorders/>
            <w:vAlign w:val="bottom"/>
          </w:tcPr>
          <w:p>
            <w:pPr>
              <w:pStyle w:val="TableContents"/>
              <w:bidi w:val="0"/>
              <w:spacing w:before="0" w:after="283"/>
              <w:jc w:val="left"/>
              <w:rPr/>
            </w:pPr>
            <w:r>
              <w:rPr/>
              <w:t> </w:t>
            </w:r>
          </w:p>
        </w:tc>
      </w:tr>
      <w:tr>
        <w:trPr/>
        <w:tc>
          <w:tcPr>
            <w:tcW w:w="3751"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loss per share attributable to common stockholders, basic and diluted (unaudited)(2)</w:t>
            </w:r>
          </w:p>
        </w:tc>
        <w:tc>
          <w:tcPr>
            <w:tcW w:w="2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(2.37</w:t>
            </w:r>
          </w:p>
        </w:tc>
        <w:tc>
          <w:tcPr>
            <w:tcW w:w="155"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(0.73</w:t>
            </w:r>
          </w:p>
        </w:tc>
        <w:tc>
          <w:tcPr>
            <w:tcW w:w="159" w:type="dxa"/>
            <w:tcBorders/>
            <w:shd w:fill="CCEEFF" w:val="clear"/>
            <w:vAlign w:val="bottom"/>
          </w:tcPr>
          <w:p>
            <w:pPr>
              <w:pStyle w:val="TableContents"/>
              <w:bidi w:val="0"/>
              <w:spacing w:before="0" w:after="283"/>
              <w:jc w:val="left"/>
              <w:rPr/>
            </w:pPr>
            <w:r>
              <w:rPr/>
              <w:t>) </w:t>
            </w:r>
          </w:p>
        </w:tc>
      </w:tr>
      <w:tr>
        <w:trPr/>
        <w:tc>
          <w:tcPr>
            <w:tcW w:w="3751"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shares used in computing pro forma net loss per share attributable to common stockholders, basic and diluted (unaudited)(2)</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25,467,421</w:t>
            </w:r>
          </w:p>
        </w:tc>
        <w:tc>
          <w:tcPr>
            <w:tcW w:w="15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25,671,159</w:t>
            </w:r>
          </w:p>
        </w:tc>
        <w:tc>
          <w:tcPr>
            <w:tcW w:w="159" w:type="dxa"/>
            <w:tcBorders/>
            <w:vAlign w:val="bottom"/>
          </w:tcPr>
          <w:p>
            <w:pPr>
              <w:pStyle w:val="TableContents"/>
              <w:bidi w:val="0"/>
              <w:spacing w:before="0" w:after="283"/>
              <w:jc w:val="left"/>
              <w:rPr/>
            </w:pPr>
            <w:r>
              <w:rPr/>
              <w:t> </w:t>
            </w:r>
          </w:p>
        </w:tc>
      </w:tr>
      <w:tr>
        <w:trPr/>
        <w:tc>
          <w:tcPr>
            <w:tcW w:w="3751"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See Note 2 and Note 13 to our audited consolidated financial statements and Note 12 to our unaudited interim condensed consolidated financial statements included elsewhere in this prospectus for an explanation of the calculations of our basic and diluted net loss per share attributable to common stockholders, and basic and diluted weighted-average number of shares used in the computation of the per share amounts.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The calculations for the pro forma net loss per share attributable to common stockholders, basic and diluted, give effect to the automatic conversion of all outstanding shares of our redeemable convertible preferred stock as of March 31, 2026 into an aggregate of 21,517,976 shares of our common stock as if it occurred on January 1, 2025, the reversal of the change in fair value of preferred stock tranche liability related to the subsequent tranche closing of Series B redeemable convertible preferred stock recorded in our consolidated statement of operations and comprehensive loss for the year ended December 31, 2025, and the reversal of accretion of redeemable convertible preferred stock to its redemption value for the year ended December 31, 2025. </w:t>
            </w:r>
          </w:p>
        </w:tc>
      </w:tr>
    </w:tbl>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5532"/>
        <w:gridCol w:w="213"/>
        <w:gridCol w:w="140"/>
        <w:gridCol w:w="885"/>
        <w:gridCol w:w="155"/>
        <w:gridCol w:w="177"/>
        <w:gridCol w:w="78"/>
        <w:gridCol w:w="1189"/>
        <w:gridCol w:w="60"/>
        <w:gridCol w:w="213"/>
        <w:gridCol w:w="94"/>
        <w:gridCol w:w="1404"/>
        <w:gridCol w:w="65"/>
      </w:tblGrid>
      <w:tr>
        <w:trPr/>
        <w:tc>
          <w:tcPr>
            <w:tcW w:w="5532"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53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439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March 31, 2026</w:t>
            </w:r>
          </w:p>
        </w:tc>
        <w:tc>
          <w:tcPr>
            <w:tcW w:w="65" w:type="dxa"/>
            <w:tcBorders/>
            <w:vAlign w:val="bottom"/>
          </w:tcPr>
          <w:p>
            <w:pPr>
              <w:pStyle w:val="TableContents"/>
              <w:bidi w:val="0"/>
              <w:spacing w:before="0" w:after="283"/>
              <w:jc w:val="left"/>
              <w:rPr/>
            </w:pPr>
            <w:r>
              <w:rPr/>
              <w:t> </w:t>
            </w:r>
          </w:p>
        </w:tc>
      </w:tr>
      <w:tr>
        <w:trPr/>
        <w:tc>
          <w:tcPr>
            <w:tcW w:w="553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2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Forma(1)</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 As</w:t>
              <w:br/>
              <w:t>Adjusted(2)(3)</w:t>
            </w:r>
          </w:p>
        </w:tc>
        <w:tc>
          <w:tcPr>
            <w:tcW w:w="65" w:type="dxa"/>
            <w:tcBorders/>
            <w:vAlign w:val="bottom"/>
          </w:tcPr>
          <w:p>
            <w:pPr>
              <w:pStyle w:val="TableContents"/>
              <w:bidi w:val="0"/>
              <w:spacing w:before="0" w:after="283"/>
              <w:jc w:val="left"/>
              <w:rPr/>
            </w:pPr>
            <w:r>
              <w:rPr/>
              <w:t> </w:t>
            </w:r>
          </w:p>
        </w:tc>
      </w:tr>
      <w:tr>
        <w:trPr/>
        <w:tc>
          <w:tcPr>
            <w:tcW w:w="553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4395" w:type="dxa"/>
            <w:gridSpan w:val="10"/>
            <w:tcBorders/>
            <w:vAlign w:val="bottom"/>
          </w:tcPr>
          <w:p>
            <w:pPr>
              <w:pStyle w:val="TableContents"/>
              <w:bidi w:val="0"/>
              <w:spacing w:before="0" w:after="283"/>
              <w:jc w:val="center"/>
              <w:rPr>
                <w:b/>
              </w:rPr>
            </w:pPr>
            <w:r>
              <w:rPr>
                <w:b/>
              </w:rPr>
              <w:t>(in thousands)</w:t>
            </w:r>
          </w:p>
        </w:tc>
        <w:tc>
          <w:tcPr>
            <w:tcW w:w="65" w:type="dxa"/>
            <w:tcBorders/>
            <w:vAlign w:val="bottom"/>
          </w:tcPr>
          <w:p>
            <w:pPr>
              <w:pStyle w:val="TableContents"/>
              <w:bidi w:val="0"/>
              <w:spacing w:before="0" w:after="283"/>
              <w:jc w:val="left"/>
              <w:rPr/>
            </w:pPr>
            <w:r>
              <w:rPr/>
              <w:t> </w:t>
            </w:r>
          </w:p>
        </w:tc>
      </w:tr>
      <w:tr>
        <w:trPr/>
        <w:tc>
          <w:tcPr>
            <w:tcW w:w="553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Consolidated Balance Sheet Data</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1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sz w:val="4"/>
                <w:szCs w:val="4"/>
              </w:rPr>
            </w:pPr>
            <w:r>
              <w:rPr>
                <w:sz w:val="4"/>
                <w:szCs w:val="4"/>
              </w:rPr>
            </w:r>
          </w:p>
        </w:tc>
        <w:tc>
          <w:tcPr>
            <w:tcW w:w="140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532"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marketable securities</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5" w:type="dxa"/>
            <w:tcBorders/>
            <w:vAlign w:val="bottom"/>
          </w:tcPr>
          <w:p>
            <w:pPr>
              <w:pStyle w:val="TableContents"/>
              <w:bidi w:val="0"/>
              <w:spacing w:before="0" w:after="283"/>
              <w:jc w:val="right"/>
              <w:rPr/>
            </w:pPr>
            <w:r>
              <w:rPr/>
              <w:t>132,622</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132,622</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399,011</w:t>
            </w:r>
          </w:p>
        </w:tc>
        <w:tc>
          <w:tcPr>
            <w:tcW w:w="65" w:type="dxa"/>
            <w:tcBorders/>
            <w:vAlign w:val="bottom"/>
          </w:tcPr>
          <w:p>
            <w:pPr>
              <w:pStyle w:val="TableContents"/>
              <w:bidi w:val="0"/>
              <w:spacing w:before="0" w:after="283"/>
              <w:jc w:val="left"/>
              <w:rPr/>
            </w:pPr>
            <w:r>
              <w:rPr/>
              <w:t> </w:t>
            </w:r>
          </w:p>
        </w:tc>
      </w:tr>
      <w:tr>
        <w:trPr/>
        <w:tc>
          <w:tcPr>
            <w:tcW w:w="55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Working capital(4)</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126,843</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126,843</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393,441</w:t>
            </w:r>
          </w:p>
        </w:tc>
        <w:tc>
          <w:tcPr>
            <w:tcW w:w="65" w:type="dxa"/>
            <w:tcBorders/>
            <w:shd w:fill="CCEEFF" w:val="clear"/>
            <w:vAlign w:val="bottom"/>
          </w:tcPr>
          <w:p>
            <w:pPr>
              <w:pStyle w:val="TableContents"/>
              <w:bidi w:val="0"/>
              <w:spacing w:before="0" w:after="283"/>
              <w:jc w:val="left"/>
              <w:rPr/>
            </w:pPr>
            <w:r>
              <w:rPr/>
              <w:t> </w:t>
            </w:r>
          </w:p>
        </w:tc>
      </w:tr>
      <w:tr>
        <w:trPr/>
        <w:tc>
          <w:tcPr>
            <w:tcW w:w="5532"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146,086</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146,086</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411,011</w:t>
            </w:r>
          </w:p>
        </w:tc>
        <w:tc>
          <w:tcPr>
            <w:tcW w:w="65" w:type="dxa"/>
            <w:tcBorders/>
            <w:vAlign w:val="bottom"/>
          </w:tcPr>
          <w:p>
            <w:pPr>
              <w:pStyle w:val="TableContents"/>
              <w:bidi w:val="0"/>
              <w:spacing w:before="0" w:after="283"/>
              <w:jc w:val="left"/>
              <w:rPr/>
            </w:pPr>
            <w:r>
              <w:rPr/>
              <w:t> </w:t>
            </w:r>
          </w:p>
        </w:tc>
      </w:tr>
      <w:tr>
        <w:trPr/>
        <w:tc>
          <w:tcPr>
            <w:tcW w:w="55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13,375</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13,375</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13,166</w:t>
            </w:r>
          </w:p>
        </w:tc>
        <w:tc>
          <w:tcPr>
            <w:tcW w:w="65" w:type="dxa"/>
            <w:tcBorders/>
            <w:shd w:fill="CCEEFF" w:val="clear"/>
            <w:vAlign w:val="bottom"/>
          </w:tcPr>
          <w:p>
            <w:pPr>
              <w:pStyle w:val="TableContents"/>
              <w:bidi w:val="0"/>
              <w:spacing w:before="0" w:after="283"/>
              <w:jc w:val="left"/>
              <w:rPr/>
            </w:pPr>
            <w:r>
              <w:rPr/>
              <w:t> </w:t>
            </w:r>
          </w:p>
        </w:tc>
      </w:tr>
      <w:tr>
        <w:trPr/>
        <w:tc>
          <w:tcPr>
            <w:tcW w:w="5532" w:type="dxa"/>
            <w:tcBorders/>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258,226</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55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(129,666</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(129,666)</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(129,666)</w:t>
            </w:r>
          </w:p>
        </w:tc>
        <w:tc>
          <w:tcPr>
            <w:tcW w:w="65" w:type="dxa"/>
            <w:tcBorders/>
            <w:shd w:fill="CCEEFF" w:val="clear"/>
            <w:vAlign w:val="bottom"/>
          </w:tcPr>
          <w:p>
            <w:pPr>
              <w:pStyle w:val="TableContents"/>
              <w:bidi w:val="0"/>
              <w:spacing w:before="0" w:after="283"/>
              <w:jc w:val="left"/>
              <w:rPr/>
            </w:pPr>
            <w:r>
              <w:rPr/>
              <w:t> </w:t>
            </w:r>
          </w:p>
        </w:tc>
      </w:tr>
      <w:tr>
        <w:trPr/>
        <w:tc>
          <w:tcPr>
            <w:tcW w:w="5532"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equity (deficit)</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(125,515</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132,711</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397,845</w:t>
            </w:r>
          </w:p>
        </w:tc>
        <w:tc>
          <w:tcPr>
            <w:tcW w:w="65"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Pro forma amounts give effect to the automatic conversion of all outstanding shares of our redeemable convertible preferred stock as of March 31, 2026 into an aggregate of 21,517,976 shares of our common stock and the related reclassification of the carrying value of the redeemable convertible preferred stock to permanent equity in connection with the completion of this offering.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The pro forma as adjusted consolidated balance sheet data gives effect to (i) the pro forma adjustments described in footnote (1) above and (ii) the sale of 17,000,000 shares of common stock in this offering, at an expected initial public offering price of $17.00 per share, after deducting the estimated underwriting discounts and commissions and estimated offering expenses payable by us.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Each increase or decrease of 1.0 million shares in the number of shares of our common stock offered in this offering would increase or decrease, as applicable, each of our pro forma as adjusted cash, cash equivalents and marketable securities, working capital, total assets and total stockholders’ equity (deficit) by approximately $15.8 million, assuming the expected initial public offering price remains the same. The pro forma as adjusted information is illustrative only, and we will adjust this information based on the actual initial public offering price and other terms of this offering.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We define working capital as current assets less current liabilities. See our unaudited interim condensed consolidated financial statements and the related notes included elsewhere in this prospectus for further details regarding our current assets and current liabilities.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4" w:name="tx40469_2"/>
      <w:bookmarkEnd w:id="4"/>
      <w:r>
        <w:rPr>
          <w:rFonts w:ascii="Times New Roman" w:hAnsi="Times New Roman"/>
          <w:b/>
          <w:sz w:val="20"/>
        </w:rPr>
        <w:t xml:space="preserve">RISK FACTORS </w:t>
      </w:r>
    </w:p>
    <w:p>
      <w:pPr>
        <w:pStyle w:val="TextBody"/>
        <w:bidi w:val="0"/>
        <w:spacing w:before="240" w:after="0"/>
        <w:jc w:val="both"/>
        <w:rPr>
          <w:rFonts w:ascii="Times New Roman" w:hAnsi="Times New Roman"/>
          <w:i/>
          <w:sz w:val="20"/>
        </w:rPr>
      </w:pPr>
      <w:r>
        <w:rPr>
          <w:rFonts w:ascii="Times New Roman" w:hAnsi="Times New Roman"/>
          <w:i/>
          <w:sz w:val="20"/>
        </w:rPr>
        <w:t xml:space="preserve">Investing in our common stock involves a high degree of risk. Before making your decision to invest in shares of our common stock, you should carefully consider the risks described below, together with the other information contained in this prospectus, including in the section titled “Management’s Discussion and Analysis of Financial Condition and Results of Operations” and in our consolidated financial statements and the related notes included elsewhere in this prospectus. The risks and uncertainties described below are not the only ones we face. Additional risks and uncertainties that we are unaware of or that we deem immaterial may also become important factors that adversely affect our business.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Financial Position, Limited Operating History and Need for Additional Capital </w:t>
      </w:r>
    </w:p>
    <w:p>
      <w:pPr>
        <w:pStyle w:val="TextBody"/>
        <w:bidi w:val="0"/>
        <w:spacing w:before="120" w:after="0"/>
        <w:jc w:val="both"/>
        <w:rPr>
          <w:rFonts w:ascii="Times New Roman" w:hAnsi="Times New Roman"/>
          <w:b/>
          <w:i/>
          <w:sz w:val="20"/>
        </w:rPr>
      </w:pPr>
      <w:r>
        <w:rPr>
          <w:rFonts w:ascii="Times New Roman" w:hAnsi="Times New Roman"/>
          <w:b/>
          <w:i/>
          <w:sz w:val="20"/>
        </w:rPr>
        <w:t xml:space="preserve">We have a limited operating history, have not completed any clinical trials and have no products approved for commercial sale, which may make it difficult for investors to evaluate our business, likelihood of success and viability. </w:t>
      </w:r>
    </w:p>
    <w:p>
      <w:pPr>
        <w:pStyle w:val="TextBody"/>
        <w:bidi w:val="0"/>
        <w:spacing w:before="120" w:after="0"/>
        <w:jc w:val="both"/>
        <w:rPr>
          <w:rFonts w:ascii="Times New Roman" w:hAnsi="Times New Roman"/>
          <w:sz w:val="20"/>
        </w:rPr>
      </w:pPr>
      <w:r>
        <w:rPr>
          <w:rFonts w:ascii="Times New Roman" w:hAnsi="Times New Roman"/>
          <w:sz w:val="20"/>
        </w:rPr>
        <w:t xml:space="preserve">We are an early clinical-stage biopharmaceutical company with a limited operating history. We commenced operations in 2023, have no products approved for commercial sale and have never generated any revenue. Drug development is a highly speculative undertaking and involves a substantial degree of risk. It entails substantial upfront capital expenditures and significant risk that any product candidate will fail to demonstrate adequate efficacy or an acceptable safety profile, gain regulatory approval or become commercially viable. To date, we have devoted substantially all of our resources to identifying, acquiring and developing our product candidates and licensed technologies, building our pipeline, conducting preclinical studies and early-stage clinical trials, organizing and staffing our Company, business planning, establishing and maintaining our intellectual property portfolio, establishing arrangements with third parties for the manufacture of our product candidates, raising capital and providing general and administrative support for these operations. </w:t>
      </w:r>
    </w:p>
    <w:p>
      <w:pPr>
        <w:pStyle w:val="TextBody"/>
        <w:bidi w:val="0"/>
        <w:spacing w:before="240" w:after="0"/>
        <w:jc w:val="both"/>
        <w:rPr>
          <w:rFonts w:ascii="Times New Roman" w:hAnsi="Times New Roman"/>
          <w:sz w:val="20"/>
        </w:rPr>
      </w:pPr>
      <w:r>
        <w:rPr>
          <w:rFonts w:ascii="Times New Roman" w:hAnsi="Times New Roman"/>
          <w:sz w:val="20"/>
        </w:rPr>
        <w:t xml:space="preserve">To date, we have primarily funded our operations with proceeds from sales of our redeemable convertible preferred stock. As of March 31, 2026, we had received an aggregate of $255.8 million in gross proceeds from sales of our redeemable convertible preferred stock and an aggregate of $0.5 million in gross proceeds from sales of our common stock and stock option exercises. </w:t>
      </w:r>
    </w:p>
    <w:p>
      <w:pPr>
        <w:pStyle w:val="TextBody"/>
        <w:bidi w:val="0"/>
        <w:spacing w:before="240" w:after="0"/>
        <w:jc w:val="both"/>
        <w:rPr>
          <w:rFonts w:ascii="Times New Roman" w:hAnsi="Times New Roman"/>
          <w:sz w:val="20"/>
        </w:rPr>
      </w:pPr>
      <w:r>
        <w:rPr>
          <w:rFonts w:ascii="Times New Roman" w:hAnsi="Times New Roman"/>
          <w:sz w:val="20"/>
        </w:rPr>
        <w:t xml:space="preserve">We have not yet demonstrated an ability to successfully complete any clinical trials, including for our product candidates, ATTO-1310, ATTO-2306 and ATTO-1091, obtain regulatory approvals, manufacture a commercial-scale product or arrange for a third party to do so on our behalf, or conduct sales and marketing activities necessary for successful product commercialization. As a result, it may be more difficult for you to accurately predict our likelihood of success and viability than it could be if we had a longer operating history. </w:t>
      </w:r>
    </w:p>
    <w:p>
      <w:pPr>
        <w:pStyle w:val="TextBody"/>
        <w:bidi w:val="0"/>
        <w:spacing w:before="240" w:after="0"/>
        <w:jc w:val="both"/>
        <w:rPr>
          <w:rFonts w:ascii="Times New Roman" w:hAnsi="Times New Roman"/>
          <w:sz w:val="20"/>
        </w:rPr>
      </w:pPr>
      <w:r>
        <w:rPr>
          <w:rFonts w:ascii="Times New Roman" w:hAnsi="Times New Roman"/>
          <w:sz w:val="20"/>
        </w:rPr>
        <w:t xml:space="preserve">In addition, we may encounter unforeseen expenses, difficulties, complications, delays and other known and unknown factors and risks frequently experienced by clinical-stage biopharmaceutical companies developing targeted therapeutic candidates for immune-mediated diseases.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 xml:space="preserve">We have incurred significant operating losses since our inception and have not generated any product revenue. We expect to incur significant losses for the foreseeable future and may never achieve or maintain profitability. </w:t>
      </w:r>
    </w:p>
    <w:p>
      <w:pPr>
        <w:pStyle w:val="TextBody"/>
        <w:bidi w:val="0"/>
        <w:spacing w:before="120" w:after="0"/>
        <w:jc w:val="both"/>
        <w:rPr>
          <w:rFonts w:ascii="Times New Roman" w:hAnsi="Times New Roman"/>
          <w:sz w:val="20"/>
        </w:rPr>
      </w:pPr>
      <w:r>
        <w:rPr>
          <w:rFonts w:ascii="Times New Roman" w:hAnsi="Times New Roman"/>
          <w:sz w:val="20"/>
        </w:rPr>
        <w:t xml:space="preserve">We have incurred significant operating losses in each reporting period since our inception, have not generated any product revenue to date and have financed our operations principally through private placements of our redeemable convertible preferred stock. For the years ended December 31, 2024 and 2025, we reported a net loss of $39.8 million and $60.6 million, respectively, and for the three months ended March 31, 2025 and 2026, we reported a net loss of $15.2 million and $18.7 million, respectively. We had an accumulated deficit of $129.7 million as of March 31, 2026. There is no assurance that we will obtain financing from other sources, or that we will be able to obtain such financing on favorable terms, if at all. Substantially all of our losses have resulted from expenses incurred in connection with the development and in-licensing of intellectual property related to our pipeline of biotherapeutics, the research and development of ATTO-1310, ATTO-2306, and ATTO-1091, and from general and administrative costs associated with our operations. We expect to incur increasing levels of operating losses for the foreseeable future, particularly as we advance ATTO-1310, ATTO-2306, and ATTO-1091 through clinical development. Our prior losses have had, and combined with expected future losses will continue to have, an adverse effect on our stockholders’ equity and working capital. We expect our research and development expenses to significantly increase in connection with our ongoing and planned clinical trials for ATTO-1310 and our planned clinical trial for ATTO-2306, and in connection with preclinical development and potential future clinical development of and other product candidates, including ATTO-1091. In addition, if we obtain regulatory approval for ATTO-1310, ATTO-2306, and ATTO-1091 or any future product candidates, we will incur significant sales, marketing, manufacturing and distribution expenses in connection with the commercialization of ATTO-1310, ATTO-2306, ATTO-1091 or any other future product candidates. We may never succeed in these activities and, even if we do, we may never generate any revenue or revenue that is significant enough to achieve profitability. </w:t>
      </w:r>
    </w:p>
    <w:p>
      <w:pPr>
        <w:pStyle w:val="TextBody"/>
        <w:bidi w:val="0"/>
        <w:spacing w:before="240" w:after="0"/>
        <w:jc w:val="both"/>
        <w:rPr>
          <w:rFonts w:ascii="Times New Roman" w:hAnsi="Times New Roman"/>
          <w:sz w:val="20"/>
        </w:rPr>
      </w:pPr>
      <w:r>
        <w:rPr>
          <w:rFonts w:ascii="Times New Roman" w:hAnsi="Times New Roman"/>
          <w:sz w:val="20"/>
        </w:rPr>
        <w:t xml:space="preserve">As a result, we expect to continue to incur significant and increasing net losses for the foreseeable future. Because of the numerous risks and uncertainties associated with developing therapeutic products, we are unable to predict the extent of any future losses or when we will become profitable, if at all. To become and remain profitable, we must succeed in discovering, developing, obtaining regulatory approvals for, and eventually commercializing products that generate significant revenue. We are only in the preliminary stages of these activities. </w:t>
      </w:r>
    </w:p>
    <w:p>
      <w:pPr>
        <w:pStyle w:val="TextBody"/>
        <w:bidi w:val="0"/>
        <w:spacing w:before="240" w:after="0"/>
        <w:jc w:val="both"/>
        <w:rPr>
          <w:rFonts w:ascii="Times New Roman" w:hAnsi="Times New Roman"/>
          <w:sz w:val="20"/>
        </w:rPr>
      </w:pPr>
      <w:r>
        <w:rPr>
          <w:rFonts w:ascii="Times New Roman" w:hAnsi="Times New Roman"/>
          <w:sz w:val="20"/>
        </w:rPr>
        <w:t xml:space="preserve">Even if we do become profitable, we may not be able to sustain or increase our profitability on a quarterly or annual basis. In addition, we expect our financial condition and operating results to fluctuate significantly from quarter-to-quarter and year-to-year due to a variety of factors, many of which are beyond our control. Accordingly, you should not rely on the results of any quarterly or annual periods as indications of future operating performance. If we fail to become and remain profitable, there may be an adverse effect on the value of our company which could impair our ability to raise capital, expand our business, maintain our research and development efforts, diversify our product candidate pipeline, achieve our strategic objectives or even continue our operations. A decline in the value of our company could also cause you to lose all or part of your investment. </w:t>
      </w:r>
    </w:p>
    <w:p>
      <w:pPr>
        <w:pStyle w:val="TextBody"/>
        <w:bidi w:val="0"/>
        <w:spacing w:before="360" w:after="0"/>
        <w:jc w:val="both"/>
        <w:rPr>
          <w:rFonts w:ascii="Times New Roman" w:hAnsi="Times New Roman"/>
          <w:b/>
          <w:i/>
          <w:sz w:val="20"/>
        </w:rPr>
      </w:pPr>
      <w:r>
        <w:rPr>
          <w:rFonts w:ascii="Times New Roman" w:hAnsi="Times New Roman"/>
          <w:b/>
          <w:i/>
          <w:sz w:val="20"/>
        </w:rPr>
        <w:t xml:space="preserve">Even if this offering is successful, we will require substantial additional capital to finance our operations and achieve our goals. If we are unable to raise capital when needed or on terms acceptable to us, we may be forced to delay, reduce or eliminate our research or development programs, any future commercialization efforts or other operations. </w:t>
      </w:r>
    </w:p>
    <w:p>
      <w:pPr>
        <w:pStyle w:val="TextBody"/>
        <w:bidi w:val="0"/>
        <w:spacing w:before="120" w:after="0"/>
        <w:jc w:val="both"/>
        <w:rPr>
          <w:rFonts w:ascii="Times New Roman" w:hAnsi="Times New Roman"/>
          <w:sz w:val="20"/>
        </w:rPr>
      </w:pPr>
      <w:r>
        <w:rPr>
          <w:rFonts w:ascii="Times New Roman" w:hAnsi="Times New Roman"/>
          <w:sz w:val="20"/>
        </w:rPr>
        <w:t xml:space="preserve">Developing therapeutic products, including conducting preclinical studies and clinical trials, is a very time-consuming, expensive and uncertain process that takes years to complete. Our operations have consumed substantial amounts of cash since inception, and we expect our expenses to increase substantially in connection with our ongoing activities, particularly as we advance our product candidates, ATTO-1310, ATTO-2306 and ATTO-1091, and any future product candidates through clinical development. We expect increased expenses as we continue our research and development, continue our ongoing clinical trials, initiate additional clinical trials,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seek to expand our product pipeline and clinical applications, seek regulatory approval for our current and future product candidates, and invest in our organization. In addition, if we obtain regulatory approval for any of our product candidates, we expect to incur significant commercialization expenses related to product manufacturing, marketing, sales and distribution. Furthermore, upon the closing of this offering, we expect to incur additional costs associated with operating as a public company that we did not incur as a private company. Accordingly, we will need to obtain substantial additional funding in connection with our continuing operations. </w:t>
      </w:r>
    </w:p>
    <w:p>
      <w:pPr>
        <w:pStyle w:val="TextBody"/>
        <w:bidi w:val="0"/>
        <w:spacing w:before="240" w:after="0"/>
        <w:jc w:val="both"/>
        <w:rPr>
          <w:rFonts w:ascii="Times New Roman" w:hAnsi="Times New Roman"/>
          <w:sz w:val="20"/>
        </w:rPr>
      </w:pPr>
      <w:r>
        <w:rPr>
          <w:rFonts w:ascii="Times New Roman" w:hAnsi="Times New Roman"/>
          <w:sz w:val="20"/>
        </w:rPr>
        <w:t xml:space="preserve">We had $132.6 million in cash, cash equivalents and marketable securities as of March 31, 2026. Based on our current operating plan, we believe that the net proceeds from this offering, together with our existing cash, cash equivalents and marketable securities will be sufficient for us to fund our operations into 2029. We have based this estimate on assumptions that may prove to be wrong, and we could use our capital resources sooner than we currently expect. Changes beyond our control may occur that would cause us to use our available capital before that time, including changes in and progress of our drug development activities and changes in regulation. Our future capital requirements will be dependent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progress, timing and results of preclinical studies and clinical trials for ATTO-1310, ATTO-2306, ATTO-1091 or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further development of our ATTOBODY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extent to which we develop, in-license, out-license or acquire any future product candidates or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number and development requirements of any future product candidates that we may pursue, and other indications for our current product candidates that we may pursue;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timing and outcome of obtaining regulatory approvals of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scope and costs of making arrangements with third-party manufacturers, or establishing manufacturing capabilities, for both clinical and commercial supplies of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involved in growing our organization to the size needed to allow for the research, development and potential commercialization of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associated with commercializing any approved product candidates, including establishing sales, marketing, market access and distribution capabilities;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the extent we pursue strategic collaborations, including collaborations to commercialize ATTO-1310, ATTO-2306, ATTO-1091 or any of our future product candidates, our ability to establish and maintain collaborations on favorable terms, if at all, as well as the timing and amount of any milestone or royalty payments we are required to make or are eligible to receive under such collaborations or our current licenses;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associated with completing any post-marketing studies or trials required by the U.S. Food and Drug Administration (FDA), or other comparable foreign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revenue, if any, received from commercial sales of ATTO-1310, ATTO-2306, ATTO-1091 or any of our future product candidates, if any are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of preparing, filing and prosecuting patent applications, maintaining and enforcing our intellectual property rights and defending intellectual property-related claims that we may become subject to, including any litigation costs and the outcome of such litigation;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associated with potential product liability claims, including the costs associated with obtaining insurance against such claims and with defending against such claims. </w:t>
            </w:r>
          </w:p>
        </w:tc>
      </w:tr>
    </w:tbl>
    <w:p>
      <w:pPr>
        <w:pStyle w:val="TextBody"/>
        <w:bidi w:val="0"/>
        <w:spacing w:before="240" w:after="0"/>
        <w:jc w:val="both"/>
        <w:rPr>
          <w:rFonts w:ascii="Times New Roman" w:hAnsi="Times New Roman"/>
          <w:sz w:val="20"/>
        </w:rPr>
      </w:pPr>
      <w:r>
        <w:rPr>
          <w:rFonts w:ascii="Times New Roman" w:hAnsi="Times New Roman"/>
          <w:sz w:val="20"/>
        </w:rPr>
        <w:t xml:space="preserve">Even if this offering is successful, we will require additional capital to complete our planned preclinical studies and clinical trials for our current product candidates to obtain regulatory approval, and we anticipate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needing to raise additional capital to complete the development of, and eventually commercialize, our product candidates, if approved. Adequate additional financing may not be available to us on favorable terms, or at all. Our ability to raise additional funds will be dependent on financial, economic and market conditions, geopolitical issues and other factors, over which we may have limited or no control. In addition, we may seek additional capital due to favorable market conditions or strategic considerations even if we believe we have sufficient funds for our current or future operating plans. If adequate funds are not available on commercially acceptable terms when needed, we may be forced to delay, reduce or terminate the development or commercialization, if approved, of all or part of our research programs or product candidates or we may be unable to take advantage of future business opportunities, including pursuing new in-licenses and acquisitions. Furthermore, any additional capital-raising efforts may divert our management from their day-to-day activities, which may adversely affect our ability to develop and commercialize our current and any future product candidates, if approved. Changing circumstances, some of which may be beyond our control, could cause us to consume capital significantly faster than we currently anticipate, and we may need to seek additional funds sooner than planned. </w:t>
      </w:r>
    </w:p>
    <w:p>
      <w:pPr>
        <w:pStyle w:val="TextBody"/>
        <w:bidi w:val="0"/>
        <w:spacing w:before="240" w:after="0"/>
        <w:jc w:val="both"/>
        <w:rPr>
          <w:rFonts w:ascii="Times New Roman" w:hAnsi="Times New Roman"/>
          <w:sz w:val="20"/>
        </w:rPr>
      </w:pPr>
      <w:r>
        <w:rPr>
          <w:rFonts w:ascii="Times New Roman" w:hAnsi="Times New Roman"/>
          <w:sz w:val="20"/>
        </w:rPr>
        <w:t xml:space="preserve">We will be required to obtain further funding through public or private equity financings, debt financings, collaboration agreements, licensing arrangements or other sources of financing, which may dilute our stockholders or restrict our operating activities. We do not have any committed external source of funds. To the extent that we raise additional capital through the sale of equity or convertible debt securities, each investor’s ownership interests will be diluted, and the terms may include liquidation or other preferences that adversely affect each investor’s rights as a stockholder. Debt financing or preferred equity financing, if available, may involve agreements that include covenants limiting or restricting our ability to take specific actions, such as incurring additional debt, making capital expenditures or declaring dividends. Such restrictions could adversely impact our ability to conduct our operations and execute our business plan. If we raise additional funds through upfront payments or milestone payments pursuant to strategic collaborations with third parties, we may have to relinquish valuable rights to our product candidates or grant licenses on terms that are not favorable to us. </w:t>
      </w:r>
    </w:p>
    <w:p>
      <w:pPr>
        <w:pStyle w:val="TextBody"/>
        <w:bidi w:val="0"/>
        <w:spacing w:before="240" w:after="0"/>
        <w:jc w:val="both"/>
        <w:rPr>
          <w:rFonts w:ascii="Times New Roman" w:hAnsi="Times New Roman"/>
          <w:sz w:val="20"/>
        </w:rPr>
      </w:pPr>
      <w:r>
        <w:rPr>
          <w:rFonts w:ascii="Times New Roman" w:hAnsi="Times New Roman"/>
          <w:sz w:val="20"/>
        </w:rPr>
        <w:t xml:space="preserve">Our failure to raise capital as and when needed or on acceptable terms could significantly harm our business, financial condition, results of operations and prospects and cause the price of our common stock to decline, and we may have to delay, reduce the scope of, suspend or eliminate one or more of our research or drug development programs, preclinical studies, clinical trials or future commercialization efforts.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Research, Discovery, Development, Regulatory Approval and Commercialization of Our Product Candidates </w:t>
      </w:r>
    </w:p>
    <w:p>
      <w:pPr>
        <w:pStyle w:val="TextBody"/>
        <w:bidi w:val="0"/>
        <w:spacing w:before="120" w:after="0"/>
        <w:jc w:val="both"/>
        <w:rPr>
          <w:rFonts w:ascii="Times New Roman" w:hAnsi="Times New Roman"/>
          <w:b/>
          <w:i/>
          <w:sz w:val="20"/>
        </w:rPr>
      </w:pPr>
      <w:r>
        <w:rPr>
          <w:rFonts w:ascii="Times New Roman" w:hAnsi="Times New Roman"/>
          <w:b/>
          <w:i/>
          <w:sz w:val="20"/>
        </w:rPr>
        <w:t xml:space="preserve">We are substantially dependent on the success of our product candidates, ATTO-1310, ATTO-2306 and ATTO-1091. If we are unable to advance the development of, receive regulatory approval for, and ultimately successfully commercialize ATTO-1310, ATTO-2306 or ATTO-1091, or experience significant delays in doing so, our business will be materially harmed. </w:t>
      </w:r>
    </w:p>
    <w:p>
      <w:pPr>
        <w:pStyle w:val="TextBody"/>
        <w:bidi w:val="0"/>
        <w:spacing w:before="120" w:after="0"/>
        <w:jc w:val="both"/>
        <w:rPr>
          <w:rFonts w:ascii="Times New Roman" w:hAnsi="Times New Roman"/>
          <w:sz w:val="20"/>
        </w:rPr>
      </w:pPr>
      <w:r>
        <w:rPr>
          <w:rFonts w:ascii="Times New Roman" w:hAnsi="Times New Roman"/>
          <w:sz w:val="20"/>
        </w:rPr>
        <w:t xml:space="preserve">Our future success is highly dependent on our ability to timely complete successful clinical trials, obtain regulatory approval for, and then successfully commercialize, our product candidates, ATTO-1310, ATTO-2306 and ATTO-1091, which may never occur. We are early in our Phase 1 clinical development efforts with respect to ATTO-1310, and ATTO-2306 and ATTO-1091 are still in preclinical development. Our other potential product candidates are also in earlier stages of development. We currently have no products that are approved for sale in any jurisdiction. We have invested substantially all of our efforts and financial resources in ATTO-1310, ATTO-2306 and ATTO-1091 and conducting preclinical studies and clinical trials. There can be no assurance that ATTO-1310, ATTO-2306, ATTO-1091 or any future product candidates we develop will achieve success in their clinical trials or obtain regulatory approval. In the future, we may also become dependent on other product candidates that we may develop or acquire; however, given our early stage of development, it may be several years, if at all, before we have demonstrated the safety and efficacy of a treatment sufficient to warrant approval for commercialization.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Our ability to generate product revenue, which we do not expect will occur for many years, if ever, will be heavily dependent on the successful development and eventual commercialization of our product candidates, ATTO-1310, ATTO-2306 and ATTO-1091, and the development of additional product candidates on our ATTOBODY platform. The success of ATTO-1310, ATTO-2306 and ATTO-1091 and any additional product candidates will be dependent on several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timely completion of successful current and future preclinical studies and clinical trials resulting in attractive, competitive target product profiles;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acceptance of INDs by the FDA or other similar clinical trial applications from comparable foreign regulatory authorities for our future clinical trials for our pipeline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timely and successful enrollment of patients in, and timely and successful completion of, clinical trials with favorable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enroll adequate subjects to allow the results to be generalizable to the U.S. population;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frequency and severity of adverse events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approval of BLAs by the FDA or other similar regulatory authorities, including the completion of any required post-marketing studies or trials and available funding to perform any post-marketing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raising additional funds necessary to complete clinical development of and commercialize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obtaining, maintaining, expanding and protecting our patent, trade secret and other intellectual property and regulatory exclusivity for our current and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making arrangements with third-party manufacturers, or establishing manufacturing capabilities, for both clinical and commercial supplies of our current and future product candidates and ensuring a resilient, effective supply chain that produces supply that outpaces demand;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developing and implementing marketing and reimbursement strategies, and creating adequate demand forecasts for supply and sales planning;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establishing sales, marketing and distribution capabilities and launching commercial sales of our products, if and when approved, whether alone or in collaboration with others in a market where promotional sales approaches are rapidly moving to digital platforms;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demonstration of safety, purity and potency, and acceptable risk-benefit profiles of our product candidates to the satisfaction of the FDA and comparable foreign regulatory authorities and attractive to physicians, patients, advocates, payors and caregivers;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acceptance of our products, if and when approved, by patients, the medical community and third-party payors underpinned by adequate health economic data and a meaningful value proposition;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effectively competing with existing and future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obtaining and maintaining third-party payor coverage and adequate reimbursement in both public and private payor spaces;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obtaining appropriate support from patient advocacy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addressing any delays in our clinical trials resulting from any major natural disasters, health pandemics or significant political events;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maintaining a continued acceptable safety profile of the products following approval. </w:t>
            </w:r>
          </w:p>
        </w:tc>
      </w:tr>
    </w:tbl>
    <w:p>
      <w:pPr>
        <w:pStyle w:val="TextBody"/>
        <w:bidi w:val="0"/>
        <w:spacing w:before="240" w:after="0"/>
        <w:jc w:val="both"/>
        <w:rPr>
          <w:rFonts w:ascii="Times New Roman" w:hAnsi="Times New Roman"/>
          <w:sz w:val="20"/>
        </w:rPr>
      </w:pPr>
      <w:r>
        <w:rPr>
          <w:rFonts w:ascii="Times New Roman" w:hAnsi="Times New Roman"/>
          <w:sz w:val="20"/>
        </w:rPr>
        <w:t xml:space="preserve">Many of these factors are beyond our control, and it is possible that none of our product candidates will ever obtain regulatory approval even if we expend substantial time and resources seeking such approval. If we do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achieve one or more of these factors in a timely manner or at all, we could experience significant delays or an inability to successfully commercialize our product candidates, which would materially harm our business. For example, our business could be harmed if the results of our ongoing clinical trial of ATTO-1310 show unexpected adverse events or a lack of efficacy in the indications we intend to treat, do not meet the clinical endpoints or if we experience other regulatory or developmental issues. </w:t>
      </w:r>
    </w:p>
    <w:p>
      <w:pPr>
        <w:pStyle w:val="TextBody"/>
        <w:bidi w:val="0"/>
        <w:spacing w:before="360" w:after="0"/>
        <w:jc w:val="both"/>
        <w:rPr>
          <w:rFonts w:ascii="Times New Roman" w:hAnsi="Times New Roman"/>
          <w:b/>
          <w:i/>
          <w:sz w:val="20"/>
        </w:rPr>
      </w:pPr>
      <w:r>
        <w:rPr>
          <w:rFonts w:ascii="Times New Roman" w:hAnsi="Times New Roman"/>
          <w:b/>
          <w:i/>
          <w:sz w:val="20"/>
        </w:rPr>
        <w:t xml:space="preserve">Drug development is a lengthy and expensive process, the outcome of clinical testing is inherently uncertain, and results of earlier preclinical studies and clinical trials may not be predictive of future clinical trial results. We may incur additional costs or experience delays in completing, or ultimately be unable to complete, the development and commercialization of ATTO-1310, ATTO-2306, ATTO-1091 and any future product candidates for many reasons, including a failure to replicate positive results from earlier preclinical studies or clinical trials in ongoing or future preclinical studies or clinical trials. </w:t>
      </w:r>
    </w:p>
    <w:p>
      <w:pPr>
        <w:pStyle w:val="TextBody"/>
        <w:bidi w:val="0"/>
        <w:spacing w:before="120" w:after="0"/>
        <w:jc w:val="both"/>
        <w:rPr>
          <w:rFonts w:ascii="Times New Roman" w:hAnsi="Times New Roman"/>
          <w:sz w:val="20"/>
        </w:rPr>
      </w:pPr>
      <w:r>
        <w:rPr>
          <w:rFonts w:ascii="Times New Roman" w:hAnsi="Times New Roman"/>
          <w:sz w:val="20"/>
        </w:rPr>
        <w:t xml:space="preserve">ATTO-1310 is in Phase 1 clinical development, and ATTO-2306 and ATTO-1091 are in preclinical development. The risk of failure is high for preclinical and early clinical-stage product candidates. We will need to file INDs for ATTO-2306 and ATTO-1091 before they can be tested in clinical trials. It is impossible to predict when or if ATTO-1310, ATTO-2306, ATTO-1091 or any future product candidates will receive regulatory approval. To obtain the requisite regulatory approvals to commercialize any product candidate, we must demonstrate through extensive preclinical studies and lengthy, complex and expensive clinical trials that our product candidates are safe, pure and potent, which includes clinical effectiveness, in humans. Clinical testing can take many years to complete, and its outcome is inherently uncertain. Failure can occur at any time during the clinical trial process. The results of preclinical studies and early clinical trials of ATTO-1310, ATTO-2306, ATTO-1091 or any future product candidates, or a competitor’s product candidate in the same class, may not be predictive of the results of later-stage clinical trials. For example, as is common for early trials, in our Phase 1b clinical trial of ATTO-1310, we looked at a number of exploratory efficacy measures, including by pooling results from different dose groups and without accounting for multiplicity. Accordingly, it is possible that positive results, including statistically significant results observed in our Phase 1b clinical trial, will not be replicated in our future clinical trials with different designs and greater number of patients. We may be unable to establish benefit on clinical endpoints that applicable regulatory authorities would consider clinically meaningful, and a clinical trial can fail at any stage of testing.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product candidates performed satisfactorily in clinical trials have nonetheless failed to obtain regulatory approval of their products. A number of companies in the biopharmaceutical industry have suffered significant setbacks in advanced clinical trials due to lack of efficacy or to unfavorable safety profiles, notwithstanding promising results in earlier trials. There is typically a high rate of failure of product candidates proceeding through clinical trials, particularly in the earlier stages of development. Most product candidates that commence clinical trials are never approved as products and there can be no assurance that any of our future clinical trials will ultimately be successful or support clinical development of ATTO-1310, ATTO-2306, ATTO-1091 or any future product candidates. </w:t>
      </w:r>
    </w:p>
    <w:p>
      <w:pPr>
        <w:pStyle w:val="TextBody"/>
        <w:bidi w:val="0"/>
        <w:spacing w:before="240" w:after="0"/>
        <w:jc w:val="both"/>
        <w:rPr>
          <w:rFonts w:ascii="Times New Roman" w:hAnsi="Times New Roman"/>
          <w:sz w:val="20"/>
        </w:rPr>
      </w:pPr>
      <w:r>
        <w:rPr>
          <w:rFonts w:ascii="Times New Roman" w:hAnsi="Times New Roman"/>
          <w:sz w:val="20"/>
        </w:rPr>
        <w:t xml:space="preserve">Additionally, some of our planned clinical trials utilize, or may utilize, an “open-label” trial design.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trial results with any of our product candidates for which we include an open-label clinical trial when studied in a controlled environment with a placebo or active control. </w:t>
      </w:r>
    </w:p>
    <w:p>
      <w:pPr>
        <w:pStyle w:val="TextBody"/>
        <w:bidi w:val="0"/>
        <w:spacing w:before="240" w:after="0"/>
        <w:jc w:val="both"/>
        <w:rPr>
          <w:rFonts w:ascii="Times New Roman" w:hAnsi="Times New Roman"/>
          <w:sz w:val="20"/>
        </w:rPr>
      </w:pPr>
      <w:r>
        <w:rPr>
          <w:rFonts w:ascii="Times New Roman" w:hAnsi="Times New Roman"/>
          <w:sz w:val="20"/>
        </w:rPr>
        <w:t xml:space="preserve">We may experience delays in initiating or completing clinical trials. We also may experience numerous unforeseen events during, or as a result of, any future clinical trials that we could conduct that could delay or prevent our ability to receive regulatory approval or commercialize ATTO-1310, ATTO-2306, ATTO-1091 or any future product candidates,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regulatory authorities, institutional review boards (IRBs) or ethics committees may not authorize us or our investigators to commence a clinical trial or conduct a clinical trial at a prospective trial site, or may halt or suspend an ongoing clinical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may experience delays in reaching or fail to reach agreement on acceptable terms with prospective trial sites and prospective contract research organizations (CROs) the terms of which can be subject to extensive negotiation and may vary significantly among different CROs and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clinical trial sites deviating from the trial protocol or dropping out of a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clinical trials of any product candidates may fail to show safety or efficacy, produce negative or inconclusive results and we may decide, or regulatory authorities may require us, to conduct additional preclinical studies or clinical trials or we may decide to abandon product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number of subjects required for clinical trials of any product candidates may be larger than we anticipate, enrollment in these clinical trials may be slower than we anticipate or subjects may drop out of these clinical trials or fail to return for post-treatment follow-up at a higher rate than we anticipate;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may elect, or regulatory authorities, IRBs, or ethics committees may require, that we or our investigators, suspend or terminate clinical research or trials for various reasons, including noncompliance with regulatory requirements or a finding that the participants in our trials are being exposed to unacceptable health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 of clinical trials of any of ATTO-1310, ATTO-2306, ATTO-1091 or any future product candidates may be greater than we anticipate, and we may not have sufficient funds to complete such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quality of ATTO-1310, ATTO-2306, ATTO-1091 or any future product candidates or other materials necessary to conduct clinical trials of ATTO-1310, ATTO-2306, ATTO-1091 or any future product candidates may be inadequate to initiate or complete a given clinical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inability to manufacture sufficient quantities of ATTO-1310, ATTO-2306, ATTO-1091 or any future product candidates for use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inability to meet drug specifications suitable for use in clinical trials and commercial applications, including the development and validation of a potency assay to ensure that the characteristics of the product released are as expected;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reports from clinical testing of other therapies may raise safety or efficacy concerns about ATTO-1310, ATTO-2306, ATTO-1091 or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receipt of feedback from regulatory authorities that requires us to modify the design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failure to establish an appropriate safety profile for a product candidate based on clinical or preclinical data for such product candidate as well as data emerging from other therapies in the same class as ATTO-1310, ATTO-2306, ATTO-1091 or any future product candidates;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FDA or other comparable foreign regulatory authorities may require us to submit additional data such as long-term toxicology studies or impose other requirements before permitting us to initiate a clinical trial.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could also encounter delays if a clinical trial is suspended or terminated by us, the IRBs overseeing the institutions in which such trials are being conducted, or the FDA or other comparable regulatory authorities, or if a clinical trial is recommended for suspension or termination by the Data Safety Monitoring Board (DSMB) for such trial. A suspension or termination may be imposed due to a number of factors, including failure to conduct the clinical trial in accordance with regulatory requirements, including the FDA’s Good Clinical Practice (GCP) regulations, or our clinical protocols, inspection of the clinical trial operations or trial site by the FDA or other comparable foreign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Clinical studies may also be delayed or terminated as a result of ambiguous or negative interim results. Many of the factors that cause, or lead to, a delay in the commencement or completion of clinical trials may also ultimately lead to the denial of regulatory approval of ATTO-1310, ATTO-2306, ATTO-1091 or any future product candidates. Further, the FDA or other comparable foreign regulatory authorities may disagree with our clinical trial design and our interpretation of data from clinical trials, or may change the requirements for approval even after they have reviewed and commented on the design for our clinical trials. </w:t>
      </w:r>
    </w:p>
    <w:p>
      <w:pPr>
        <w:pStyle w:val="TextBody"/>
        <w:bidi w:val="0"/>
        <w:spacing w:before="240" w:after="0"/>
        <w:jc w:val="both"/>
        <w:rPr>
          <w:rFonts w:ascii="Times New Roman" w:hAnsi="Times New Roman"/>
          <w:sz w:val="20"/>
        </w:rPr>
      </w:pPr>
      <w:r>
        <w:rPr>
          <w:rFonts w:ascii="Times New Roman" w:hAnsi="Times New Roman"/>
          <w:sz w:val="20"/>
        </w:rPr>
        <w:t xml:space="preserve">We cannot predict with any certainty the schedule for commencement and completion of future clinical trials. Further, conducting clinical trials in foreign countries, as we have done and may do in the future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 </w:t>
      </w:r>
    </w:p>
    <w:p>
      <w:pPr>
        <w:pStyle w:val="TextBody"/>
        <w:bidi w:val="0"/>
        <w:spacing w:before="240" w:after="0"/>
        <w:jc w:val="both"/>
        <w:rPr>
          <w:rFonts w:ascii="Times New Roman" w:hAnsi="Times New Roman"/>
          <w:sz w:val="20"/>
        </w:rPr>
      </w:pPr>
      <w:r>
        <w:rPr>
          <w:rFonts w:ascii="Times New Roman" w:hAnsi="Times New Roman"/>
          <w:sz w:val="20"/>
        </w:rPr>
        <w:t xml:space="preserve">If we are required to conduct additional clinical trials or other testing of our current or future product candidates beyond those that we currently contemplate, if we are unable to successfully complete clinical trials of our current or future product candidates or other testing in a timely manner, if the results of these trials or tests are not positive or are only modestly positive or if there are safety concerns, we may incur unplanned costs, be delayed in seeking and obtaining regulatory approval, if we receive such approval at all, receive more limited or restrictive regulatory approval, be subject to additional post-marketing testing requirements or have the product removed from the market after obtaining regulatory approval. </w:t>
      </w:r>
    </w:p>
    <w:p>
      <w:pPr>
        <w:pStyle w:val="TextBody"/>
        <w:bidi w:val="0"/>
        <w:spacing w:before="240" w:after="0"/>
        <w:jc w:val="both"/>
        <w:rPr>
          <w:rFonts w:ascii="Times New Roman" w:hAnsi="Times New Roman"/>
          <w:sz w:val="20"/>
        </w:rPr>
      </w:pPr>
      <w:r>
        <w:rPr>
          <w:rFonts w:ascii="Times New Roman" w:hAnsi="Times New Roman"/>
          <w:sz w:val="20"/>
        </w:rPr>
        <w:t xml:space="preserve">Additionally, if the results of our clinical trials are inconclusive or if there are safety concerns or serious adverse events associated with our product candidates, we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be delayed in obtaining regulatory approval, if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obtain approval for indications or patient populations that are not as broad as intended or desired or may have restricted duration expectations or guidance;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obtain approval with labeling that includes significant use or distribution restrictions or safety warnings;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be subject to additional post-marketing testing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be required to perform additional clinical trials to support approval or be subject to additional post-marketing testing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have regulatory authorities withdraw or suspend their approval of the product or impose restrictions on its distribution in the form of a Risk Evaluation and Mitigation Strategy (REMS);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be subject to the addition of labeling statements, such as warnings or contraindications;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be sued;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experience damage to our reputation.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Our drug development costs will also increase if we experience delays in testing or obtaining regulatory approvals. Also, delays in obtaining regulatory approval may increase commercialization costs if the competitive environment becomes more intense prior to market entry. We do not know whether any of our preclinical studies or clinical trials will begin as planned, need to be restructured or be completed on schedule, if at all. </w:t>
      </w:r>
    </w:p>
    <w:p>
      <w:pPr>
        <w:pStyle w:val="TextBody"/>
        <w:bidi w:val="0"/>
        <w:spacing w:before="240" w:after="0"/>
        <w:jc w:val="both"/>
        <w:rPr>
          <w:rFonts w:ascii="Times New Roman" w:hAnsi="Times New Roman"/>
          <w:sz w:val="20"/>
        </w:rPr>
      </w:pPr>
      <w:r>
        <w:rPr>
          <w:rFonts w:ascii="Times New Roman" w:hAnsi="Times New Roman"/>
          <w:sz w:val="20"/>
        </w:rPr>
        <w:t xml:space="preserve">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 </w:t>
      </w:r>
    </w:p>
    <w:p>
      <w:pPr>
        <w:pStyle w:val="TextBody"/>
        <w:bidi w:val="0"/>
        <w:spacing w:before="240" w:after="0"/>
        <w:jc w:val="both"/>
        <w:rPr>
          <w:rFonts w:ascii="Times New Roman" w:hAnsi="Times New Roman"/>
          <w:sz w:val="20"/>
        </w:rPr>
      </w:pPr>
      <w:r>
        <w:rPr>
          <w:rFonts w:ascii="Times New Roman" w:hAnsi="Times New Roman"/>
          <w:sz w:val="20"/>
        </w:rPr>
        <w:t xml:space="preserve">We may make formulation or manufacturing changes to our product candidates, in which case we may need to conduct additional preclinical studies to bridge our modified product candidates to earlier versions. If we experience delays in the commencement or completion of our clinical trials, or if we terminate a clinical trial prior to completion, the commercial prospects of our current or any future product candidates could be negatively impacted, and our ability to generate revenues from our current or future product candidates may be delayed or eliminated entirely. </w:t>
      </w:r>
    </w:p>
    <w:p>
      <w:pPr>
        <w:pStyle w:val="TextBody"/>
        <w:bidi w:val="0"/>
        <w:spacing w:before="360" w:after="0"/>
        <w:jc w:val="both"/>
        <w:rPr>
          <w:rFonts w:ascii="Times New Roman" w:hAnsi="Times New Roman"/>
          <w:b/>
          <w:i/>
          <w:sz w:val="20"/>
        </w:rPr>
      </w:pPr>
      <w:r>
        <w:rPr>
          <w:rFonts w:ascii="Times New Roman" w:hAnsi="Times New Roman"/>
          <w:b/>
          <w:i/>
          <w:sz w:val="20"/>
        </w:rPr>
        <w:t xml:space="preserve">If we experience delays or difficulties in the enrollment of patients in clinical trials, our receipt of necessary regulatory approvals could be delayed or prevented. </w:t>
      </w:r>
    </w:p>
    <w:p>
      <w:pPr>
        <w:pStyle w:val="TextBody"/>
        <w:bidi w:val="0"/>
        <w:spacing w:before="120" w:after="0"/>
        <w:jc w:val="both"/>
        <w:rPr>
          <w:rFonts w:ascii="Times New Roman" w:hAnsi="Times New Roman"/>
          <w:sz w:val="20"/>
        </w:rPr>
      </w:pPr>
      <w:r>
        <w:rPr>
          <w:rFonts w:ascii="Times New Roman" w:hAnsi="Times New Roman"/>
          <w:sz w:val="20"/>
        </w:rPr>
        <w:t xml:space="preserve">Patient enrollment, a significant factor in the timing of clinical trials, is affected by many factors including the size and nature of the patient population, the number and location of clinical sites we enroll, the proximity of patients to clinical sites, the eligibility and exclusion criteria for the trial, the design of the clinical trial, the inability to obtain and maintain patient consents, the risk that enrolled participants will drop out before completion, competing clinical trials, and clinicians’ and patients’ perceptions as to the potential advantages of the product candidate being studied in relation to other available therapies, including any new drugs or therapeutic biologics, including those being developed by our competitors, that may be approved for the indications being investigated by us, and patients’ inability to complete treatment due to illness or other events. In addition, some of our competitors currently have ongoing clinical trials for product candidates that would treat the same patients as ATTO-1310, ATTO-2306, and ATTO-1091, and patients who would otherwise be eligible for our clinical trials may instead enroll in clinical trials of our competitors’ product candidates. Furthermore, we expect to rely on our collaborators, CROs and clinical trial sites to ensure the proper and timely conduct of our future clinical trials, including the patient enrollment process, and we have limited influence over their performance. Additionally, we could encounter delays if treating physicians face unresolved ethical issues associated with enrolling patients in future clinical trials of ATTO-1310, ATTO-2306, ATTO-1091 or any future product candidates in lieu of prescribing existing treatments that have established safety and efficacy profiles. </w:t>
      </w:r>
    </w:p>
    <w:p>
      <w:pPr>
        <w:pStyle w:val="TextBody"/>
        <w:bidi w:val="0"/>
        <w:spacing w:before="240" w:after="0"/>
        <w:jc w:val="both"/>
        <w:rPr>
          <w:rFonts w:ascii="Times New Roman" w:hAnsi="Times New Roman"/>
          <w:sz w:val="20"/>
        </w:rPr>
      </w:pPr>
      <w:r>
        <w:rPr>
          <w:rFonts w:ascii="Times New Roman" w:hAnsi="Times New Roman"/>
          <w:sz w:val="20"/>
        </w:rPr>
        <w:t xml:space="preserve">We may not be able to initiate or continue our ongoing or planned clinical trials for our current or future product candidates if we are unable to identify and enroll a sufficient number of eligible patients to participate in these trials as required by the FDA or comparable foreign regulatory authorities. We cannot be certain (i) how many patients will meet our criteria for inclusion in our clinical trials, (ii) that the number of patients enrolled in each program will suffice for marketing authorization or (iii) whether the indication targeted will be included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 approved product labeling. If our strategies for patient identification and enrollment prove unsuccessful, we may have difficulty enrolling or maintaining patients appropriate for our product candidates. Patient enrollment is also affected by other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severity of the disease under investigation;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recruit clinical trial investigators of appropriate competencies and experience;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incidence and prevalence of our target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clinicians’ and patients’ awareness of, and perceptions as to, the potential advantages and risks of our product candidates in relation to other available therapies, including any new products that may be approved for the indications we are investigating;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availability, expertise, dedication and selection of CROs, to manage operations related to clinical trial enrollment;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competing studies or trials with similar eligibility criteria;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invasive procedures required to enroll patients and to obtain evidence of the product candidate’s performance during the clinical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availability and efficacy of approved medications for the disease under investigation;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eligibility criteria defined in the protocol for the trial in question;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size and nature of the patient population required for analysis of the trial’s primary endpoints;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efforts to facilitate timely enrollment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whether we are subject to a partial or full clinical hold on any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reluctance of physicians or patient advocacy organizations to encourage patient participation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ability to monitor patients adequately during and after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obtain and maintain patient consents;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proximity and availability of clinical trial sites for prospective patients.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we are unable to enroll a sufficient number of patients for our clinical trials, it would result in significant delays or might require us to abandon one or more clinical trials altogether. Even if we are able to enroll a sufficient number of patients for our clinical trials, we may have difficulty maintaining patients in our clinical trials. Many of the patients who end up receiving placebo may perceive that they are not receiving the product candidate being tested, and they may decide to withdraw from our clinical trials to pursue other alternative therapies rather than continue the trial with the perception that they are receiving placebo. Enrollment delays in our clinical trials may result in increased development costs for ATTO-1310, ATTO-2306, ATTO-1091 or any future product candidates, slow down or halt our product candidate development and approval process and jeopardize our ability to seek and obtain the regulatory approval required to commence product sales and to generate revenue, which would cause our stock price to decline and limit our ability to obtain additional financing, if needed. </w:t>
      </w:r>
    </w:p>
    <w:p>
      <w:pPr>
        <w:pStyle w:val="TextBody"/>
        <w:bidi w:val="0"/>
        <w:spacing w:before="360" w:after="0"/>
        <w:jc w:val="both"/>
        <w:rPr>
          <w:rFonts w:ascii="Times New Roman" w:hAnsi="Times New Roman"/>
          <w:b/>
          <w:i/>
          <w:sz w:val="20"/>
        </w:rPr>
      </w:pPr>
      <w:r>
        <w:rPr>
          <w:rFonts w:ascii="Times New Roman" w:hAnsi="Times New Roman"/>
          <w:b/>
          <w:i/>
          <w:sz w:val="20"/>
        </w:rPr>
        <w:t xml:space="preserve">Adverse side effects or other safety risks associated with ATTO-1310, ATTO-2306, ATTO-1091 or any future product candidates we may develop could delay or preclude approval, cause us to suspend or discontinue clinical trials or abandon further development, limit the commercial profile of an approved product, or result in significant negative consequences following regulatory approval, if any. </w:t>
      </w:r>
    </w:p>
    <w:p>
      <w:pPr>
        <w:pStyle w:val="TextBody"/>
        <w:bidi w:val="0"/>
        <w:spacing w:before="120" w:after="0"/>
        <w:jc w:val="both"/>
        <w:rPr>
          <w:rFonts w:ascii="Times New Roman" w:hAnsi="Times New Roman"/>
          <w:sz w:val="20"/>
        </w:rPr>
      </w:pPr>
      <w:r>
        <w:rPr>
          <w:rFonts w:ascii="Times New Roman" w:hAnsi="Times New Roman"/>
          <w:sz w:val="20"/>
        </w:rPr>
        <w:t xml:space="preserve">There may be treatment-related serious adverse events or unexpected serious adverse reactions suspected to be associated with the use of ATTO-1310, ATTO-2306, ATTO-1091 or any future product candidates. Our clinical trials may reveal significant adverse events not seen in our preclinical studies or prior clinical trials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may result in a safety or tolerability profile that could delay or prevent regulatory approval or market acceptance of ATTO-1310, ATTO-2306, ATTO-1091 or any future product candidates. Undesirable or clinically unmanageable side effects observed in our clinical trials for our product candidates could occur and cause us or regulatory authorities to interrupt, delay or halt our clinical trials and could result in more restrictive labeling than anticipated or the delay or denial of regulatory approval by the FDA or comparable foreign regulatory authorities. If additional adverse events, serious adverse events (SAEs) or other side effects are observed in any of our clinical trials that are atypical of, or more severe than, the known side effects of the respective class of agents that each of our product candidates are a part of, we may have difficulty recruiting participants to our clinical trials, participants may drop out of our trials, or we may be required to abandon those trials or our development efforts of one or more product candidates altogether. Furthermore, clinical trials by their nature utilize a sample of the potential patient population. With a limited number of subjects and limited duration of exposure, rare and severe side effects of our product candidates or those of our competitors may only be uncovered with a significantly larger number of patients exposed to the drug. Undesirable or clinically unmanageable side effects observed in our clinical trials for our product candidates could also occur following discontinuation of ATTO-1310, ATTO-2306, ATTO-1091, or any future product candidates with sufficient recovery periods, and we will need to monitor the severity and duration of side effects in our clinical trials. If such effects are more severe, less reversible than we expect or not reversible at all, we may decide or be required to perform additional studies or to halt or delay further clinical or preclinical development of ATTO-1310, ATTO-2306, or ATTO-1091, as applicable, or any future product candidates, which could result in the delay or denial of regulatory approval by the FDA or other comparable foreign regulatory authorities. Adverse events and SAEs that emerge during clinical investigation of or treatment with ATTO-1310, ATTO-2306, ATTO-1091 or any future product candidates may be deemed to be related to our product candidates. Moreover, if our product candidates are associated with undesirable side effects in clinical trials or have characteristics that are unexpected,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our product candidates, if approved. This may require longer and more extensive clinical development, or regulatory authorities may increase the amount of data and information required to approve, market or maintain approval for ATTO-1310, ATTO-2306, ATTO-1091 or future product candidates and could result in warnings and precautions in our product labeling or a restrictive REMS. This may also result in an inability to obtain approval of ATTO-1310, ATTO-2306, ATTO-1091 or future product candidates. We, the FDA or other comparable foreign regulatory authorities or an IRB or ethics committee may suspend clinical trials of a product candidate at any time for various reasons, including a belief that participants in such trials are being exposed to unacceptable health risks or adverse side effects. Even if the side effects do not preclude a product candidate from obtaining or maintaining regulatory approval, undesirable side effects may inhibit market acceptance of such approved product due to its tolerability versus other therapies. Further, it is possible that, as we test our product candidates in larger, longer and more extensive clinical trials, including with different dosing regimens, or as the use of our drug candidates becomes more widespread following any regulatory approval, illnesses, injuries, discomforts and other adverse events that were observed in earlier trials, as well as conditions that did not occur or went undetected in previous trials, will be reported by patients. Any of these developments could materially harm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Preliminary, topline or interim data from our clinical trials that we announce or publish from time to time may change as more patient data become available and/or are subject to audit and verification procedures that could result in material changes in the final data. </w:t>
      </w:r>
    </w:p>
    <w:p>
      <w:pPr>
        <w:pStyle w:val="TextBody"/>
        <w:bidi w:val="0"/>
        <w:spacing w:before="120" w:after="0"/>
        <w:jc w:val="both"/>
        <w:rPr>
          <w:rFonts w:ascii="Times New Roman" w:hAnsi="Times New Roman"/>
          <w:sz w:val="20"/>
        </w:rPr>
      </w:pPr>
      <w:r>
        <w:rPr>
          <w:rFonts w:ascii="Times New Roman" w:hAnsi="Times New Roman"/>
          <w:sz w:val="20"/>
        </w:rPr>
        <w:t xml:space="preserve">From time to time, we may publicly disclose preliminary, topline or interim data from our clinical trials, such as preliminary, topline or interim data analysis from our ongoing Phase 1 clinical trial for ATTO-1310. These data and related findings and conclusions may only reflect certain endpoints rather than all endpoints and are subject to change. We also make assumptions, estimations, calculations and conclusions as part of our analyses of data, and we may not have received or had the opportunity to fully and carefully evaluate all data. As a result, the preliminary or topline results that we report may differ from future results of the same studies, or different conclusions or considerations may qualify such results, once additional data have been received and fully evaluated.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Preliminary or topline data also remain subject to review and verification procedures that may result in the final data being materially different from the preliminary or topline data we previously published. As a result, preliminary and topline data should be viewed with caution until the final data are available. In addition, we may report preliminary data or interim analyses of the clinical trials we may conduct and complete, which are subject to the risk that one or more of the clinical outcomes may materially change as patient enrollment continues and more patient data become available. Adverse changes between preliminary or interim data and final data could significantly harm our business and prospects. Further, additional disclosure of preliminary or interim data by us, including, for example, preliminary or interim data that become available to us from our ongoing Phase 1 clinical trial for ATTO-1310 or by our competitors in the future could result in volatility in the price of our common stock. </w:t>
      </w:r>
    </w:p>
    <w:p>
      <w:pPr>
        <w:pStyle w:val="TextBody"/>
        <w:bidi w:val="0"/>
        <w:spacing w:before="240" w:after="0"/>
        <w:jc w:val="both"/>
        <w:rPr>
          <w:rFonts w:ascii="Times New Roman" w:hAnsi="Times New Roman"/>
          <w:sz w:val="20"/>
        </w:rPr>
      </w:pPr>
      <w:r>
        <w:rPr>
          <w:rFonts w:ascii="Times New Roman" w:hAnsi="Times New Roman"/>
          <w:sz w:val="20"/>
        </w:rPr>
        <w:t xml:space="preserve">Further,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topline or interim data that we report differ from later,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The incidence and prevalence for target patient populations of one or more of our current product candidates have not been established with precision. If the market opportunities for our current or future product candidates are smaller than we estimate or if any approval that we may obtain is based on a narrower definition of the patient population, our revenue and ability to achieve profitability will be adversely affected, possibly materially. </w:t>
      </w:r>
    </w:p>
    <w:p>
      <w:pPr>
        <w:pStyle w:val="TextBody"/>
        <w:bidi w:val="0"/>
        <w:spacing w:before="120" w:after="0"/>
        <w:jc w:val="both"/>
        <w:rPr>
          <w:rFonts w:ascii="Times New Roman" w:hAnsi="Times New Roman"/>
          <w:sz w:val="20"/>
        </w:rPr>
      </w:pPr>
      <w:r>
        <w:rPr>
          <w:rFonts w:ascii="Times New Roman" w:hAnsi="Times New Roman"/>
          <w:sz w:val="20"/>
        </w:rPr>
        <w:t xml:space="preserve">Our projections of the number of people who have atopic dermatitis (AD), chronic pruritus of unknown origin (CPUO), as well as other immune-mediated diseases we are targeting, and who have the potential to benefit from treatment with ATTO-1310, ATTO-2306, ATTO-1091 or any of our future product candidates, are based on our beliefs and estimates. These estimates have been derived from a variety of sources, including scientific literature, surveys of clinics, patient foundations or market research, and may prove to be incorrect. Further, new studies may change the estimated incidence or prevalence of the indications that we are targeting. The potentially addressable patient population for ATTO-1310, ATTO-2306, ATTO-1091 or any of our future product candidates may be more limited than we currently estimate or may not be amenable to treatment with such product candidates. </w:t>
      </w:r>
    </w:p>
    <w:p>
      <w:pPr>
        <w:pStyle w:val="TextBody"/>
        <w:bidi w:val="0"/>
        <w:spacing w:before="360" w:after="0"/>
        <w:jc w:val="both"/>
        <w:rPr>
          <w:rFonts w:ascii="Times New Roman" w:hAnsi="Times New Roman"/>
          <w:b/>
          <w:i/>
          <w:sz w:val="20"/>
        </w:rPr>
      </w:pPr>
      <w:r>
        <w:rPr>
          <w:rFonts w:ascii="Times New Roman" w:hAnsi="Times New Roman"/>
          <w:b/>
          <w:i/>
          <w:sz w:val="20"/>
        </w:rPr>
        <w:t xml:space="preserve">Although we intend to explore other therapeutic opportunities in addition to the product candidates that we are currently developing, we may fail to identify viable new product candidates for clinical development for a number of reasons. If we fail to identify additional potential product candidates, our business could be materially harmed. </w:t>
      </w:r>
    </w:p>
    <w:p>
      <w:pPr>
        <w:pStyle w:val="TextBody"/>
        <w:bidi w:val="0"/>
        <w:spacing w:before="120" w:after="0"/>
        <w:jc w:val="both"/>
        <w:rPr>
          <w:rFonts w:ascii="Times New Roman" w:hAnsi="Times New Roman"/>
          <w:sz w:val="20"/>
        </w:rPr>
      </w:pPr>
      <w:r>
        <w:rPr>
          <w:rFonts w:ascii="Times New Roman" w:hAnsi="Times New Roman"/>
          <w:sz w:val="20"/>
        </w:rPr>
        <w:t xml:space="preserve">We may expend our limited resources to pursue a particular product candidate in specific indications and fail to capitalize on product candidates or indications that may be more profitable or for which there is a greater likelihood of success. Because we have limited financial and managerial resources, we focus our development efforts on certain selected product candidates in certain selected indications. For example, we are initially focused on ATTO-1310 and ATTO-2306 for the treatment of immune-mediated diseases and ATTO-1091 for the treatment of IBD. As a result, we may forgo or delay pursuit of opportunities with other product candidates, or other indications for our current or any future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are conducting, and may in the future conduct, clinical trials for current or future product candidates outside the United States, and the FDA and comparable foreign regulatory authorities may not accept data from such trials. </w:t>
      </w:r>
    </w:p>
    <w:p>
      <w:pPr>
        <w:pStyle w:val="TextBody"/>
        <w:bidi w:val="0"/>
        <w:spacing w:before="120" w:after="0"/>
        <w:jc w:val="both"/>
        <w:rPr>
          <w:rFonts w:ascii="Times New Roman" w:hAnsi="Times New Roman"/>
          <w:sz w:val="20"/>
        </w:rPr>
      </w:pPr>
      <w:r>
        <w:rPr>
          <w:rFonts w:ascii="Times New Roman" w:hAnsi="Times New Roman"/>
          <w:sz w:val="20"/>
        </w:rPr>
        <w:t xml:space="preserve">We are conducting, and may in the future conduct, clinical trials for current or future product candidates outside the United States, and the FDA and comparable foreign regulatory authorities may not accept data from such trials. We are currently conducting clinical trials in Canada, and we expect to continue to conduct trials internationally in the future. The acceptance of data from clinical trials conducted outside the United States by the FDA or other comparable foreign regulatory authorities may be subject to certain conditions or may not be accepted at all. In cases where data from foreign clinical trials are intended to serve as the sole basis for regulatory approval in the United States, the FDA will generally not approve the application unless (i) the data are applicable to the U.S. population and U.S. medical practice and (ii) the trials were performed by clinical investigators of recognized competence and pursuant to GCP regulations, and the data may be considered valid without the need for an on-site inspection by the FDA or, if the FDA considers such an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GCPs and the FDA is able to validate the data from the study through an onsite inspection if deemed necessary. Additionally, the FDA’s clinical trial requirements, including sufficient size of patient populations and statistical powering, must be met. Many foreign regulatory authorities have similar approval requirements. In addition, such foreign trials are subject to the applicable local laws of the foreign jurisdictions where the trials are conducted. Conducting clinical trials outside the United States also exposes us to additional risks, including risks associated with foreign exchange fluctuations, compliance with foreign manufacturing, customs, shipment and storage requirements, and cultural differences in medical practice and clinical research, and diminished protection of intellectual property in some countries. </w:t>
      </w:r>
    </w:p>
    <w:p>
      <w:pPr>
        <w:pStyle w:val="TextBody"/>
        <w:bidi w:val="0"/>
        <w:spacing w:before="240" w:after="0"/>
        <w:jc w:val="both"/>
        <w:rPr>
          <w:rFonts w:ascii="Times New Roman" w:hAnsi="Times New Roman"/>
          <w:sz w:val="20"/>
        </w:rPr>
      </w:pPr>
      <w:r>
        <w:rPr>
          <w:rFonts w:ascii="Times New Roman" w:hAnsi="Times New Roman"/>
          <w:sz w:val="20"/>
        </w:rPr>
        <w:t xml:space="preserve">There can be no assurance that the FDA or any comparable foreign regulatory authority will accept data from trials conducted outside of the United States or the applicable jurisdiction. For example, for FDA acceptance, we will have to demonstrate that the foreign data are applicable to the U.S. population and U.S. medical practice. If the FDA or other comparable foreign regulatory authorities do not accept such data, it would result in the need for additional trials, which could be costly and time-consuming, and which may result in current or future product candidates that we may develop being delayed or not receiving approval for commercialization in the applicable jurisdiction. </w:t>
      </w:r>
    </w:p>
    <w:p>
      <w:pPr>
        <w:pStyle w:val="TextBody"/>
        <w:bidi w:val="0"/>
        <w:spacing w:before="360" w:after="0"/>
        <w:jc w:val="both"/>
        <w:rPr>
          <w:rFonts w:ascii="Times New Roman" w:hAnsi="Times New Roman"/>
          <w:b/>
          <w:i/>
          <w:sz w:val="20"/>
        </w:rPr>
      </w:pPr>
      <w:r>
        <w:rPr>
          <w:rFonts w:ascii="Times New Roman" w:hAnsi="Times New Roman"/>
          <w:b/>
          <w:i/>
          <w:sz w:val="20"/>
        </w:rPr>
        <w:t xml:space="preserve">If, in the future, we are unable to establish sales and marketing capabilities or enter into agreements with third parties to sell and market any product we may develop, we may not be successful in commercializing those products if they are approved. </w:t>
      </w:r>
    </w:p>
    <w:p>
      <w:pPr>
        <w:pStyle w:val="TextBody"/>
        <w:bidi w:val="0"/>
        <w:spacing w:before="120" w:after="0"/>
        <w:jc w:val="both"/>
        <w:rPr>
          <w:rFonts w:ascii="Times New Roman" w:hAnsi="Times New Roman"/>
          <w:sz w:val="20"/>
        </w:rPr>
      </w:pPr>
      <w:r>
        <w:rPr>
          <w:rFonts w:ascii="Times New Roman" w:hAnsi="Times New Roman"/>
          <w:sz w:val="20"/>
        </w:rPr>
        <w:t xml:space="preserve">We do not have a sales or marketing infrastructure and have no experience in the sales, marketing or distribution of any current or future product candidates. To achieve commercial success for any approved product, we must either develop a sales and marketing organization or outsource these functions to third parties. In the future and if any of our product candidates are approved, we may choose to build a focused sales, marketing and commercial support infrastructure to sell, or participate in sales activities with collaborators for some of our current or future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There are risks involved with both establishing our own commercial capabilities and entering into arrangements with third parties to perform these services. For example, factors that may inhibit our efforts to commercialize any approved product candidates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inability to recruit and retain adequate numbers of effective sales, marketing, coverage or reimbursement, customer service, medical affairs and other support personnel; the inability of sales personnel to obtain access to or persuade adequate numbers of decision makers of the utility of future approved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inability of reimbursement professionals to negotiate arrangements for formulary access, reimbursement and other acceptance by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inability to price any of our current or future product candidates at a sufficient price point to ensure an adequate and attractive level of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restricted or closed distribution channels that make it difficult to distribute our current or future product candidates to segments of the patient population;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lack of complementary product candidates to be offered by sales personnel, which may put us at a competitive disadvantage relative to companies with more extensive product candidate lines;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unforeseen costs and expenses associated with creating an independent commercialization organization.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the commercial launch of a product candidate, if approved,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 </w:t>
      </w:r>
    </w:p>
    <w:p>
      <w:pPr>
        <w:pStyle w:val="TextBody"/>
        <w:bidi w:val="0"/>
        <w:spacing w:before="240" w:after="0"/>
        <w:jc w:val="both"/>
        <w:rPr>
          <w:rFonts w:ascii="Times New Roman" w:hAnsi="Times New Roman"/>
          <w:sz w:val="20"/>
        </w:rPr>
      </w:pPr>
      <w:r>
        <w:rPr>
          <w:rFonts w:ascii="Times New Roman" w:hAnsi="Times New Roman"/>
          <w:sz w:val="20"/>
        </w:rPr>
        <w:t xml:space="preserve">If we enter into arrangements with third parties to perform sales, marketing, commercial support and distribution services, our sales revenue or the profitability of sales revenue may be lower than if we were to do so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 candidates effectively. If we do not establish commercialization capabilities successfully, either on our own or in collaboration with third parties, we will not be successful in commercializing our product candidates, if approved.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current or future product candidates may not achieve adequate market acceptance among physicians, patients or their families, healthcare payors and others in the medical community necessary for commercial success. </w:t>
      </w:r>
    </w:p>
    <w:p>
      <w:pPr>
        <w:pStyle w:val="TextBody"/>
        <w:bidi w:val="0"/>
        <w:spacing w:before="120" w:after="0"/>
        <w:jc w:val="both"/>
        <w:rPr>
          <w:rFonts w:ascii="Times New Roman" w:hAnsi="Times New Roman"/>
          <w:sz w:val="20"/>
        </w:rPr>
      </w:pPr>
      <w:r>
        <w:rPr>
          <w:rFonts w:ascii="Times New Roman" w:hAnsi="Times New Roman"/>
          <w:sz w:val="20"/>
        </w:rPr>
        <w:t xml:space="preserve">Even if our current or future product candidates receive regulatory approval, they may not gain adequate market acceptance among physicians, patients or their families, third-party payors and others in the medical community. The degree of market acceptance of any of our approved product candidates will be dependent on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efficacy, durability and safety profile as demonstrated in clinical trials compared to alternative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timing of market introduction of the product candidate as well as competitive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clinical indications for which a product candidate is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restrictions on the use of product candidates in the labeling approved by regulatory authorities, such as boxed warnings or contraindications in labeling, or a REMS, if any, which may not be required of alternative treatments and competitor products;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terms of any approvals and the countries in which approvals are obtained;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potential and perceived advantages of our current or future product candidates over alternative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 of treatment in relation to alternative treatments and the cost/benefit ratios of 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availability of coverage and adequate reimbursement by third-party payors, including government authorities, and timing of relevant formulary decision-making resulting in this coverage and reimbursement;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availability of an approved product candidate for use as a combination therapy;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relative convenience and ease of administration in relation to competition;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willingness of the target patient population to try new therapies and of physicians to prescribe these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effectiveness of sales, marketing efforts and market access;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publicity relating to our product candidates or those of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potential product liability claims;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approval of new therapies for the same indications.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any of our current or future product candidates are approved but do not achieve an adequate level of acceptance by physicians, hospitals, healthcare payors and patients, we may not generate or derive sufficient revenue from that product candidate and our financial results could be negatively impacted. Our efforts to educate the medical community and third-party payors regarding the benefits of our products may require significant resources and may never be successful. </w:t>
      </w:r>
    </w:p>
    <w:p>
      <w:pPr>
        <w:pStyle w:val="TextBody"/>
        <w:bidi w:val="0"/>
        <w:spacing w:before="360" w:after="0"/>
        <w:jc w:val="both"/>
        <w:rPr>
          <w:rFonts w:ascii="Times New Roman" w:hAnsi="Times New Roman"/>
          <w:b/>
          <w:i/>
          <w:sz w:val="20"/>
        </w:rPr>
      </w:pPr>
      <w:r>
        <w:rPr>
          <w:rFonts w:ascii="Times New Roman" w:hAnsi="Times New Roman"/>
          <w:b/>
          <w:i/>
          <w:sz w:val="20"/>
        </w:rPr>
        <w:t xml:space="preserve">If our product candidates do not achieve projected development milestones or commercialization in the announced or expected timeframes, the further development or commercialization of such product candidates may be delayed, and our business will be harmed. </w:t>
      </w:r>
    </w:p>
    <w:p>
      <w:pPr>
        <w:pStyle w:val="TextBody"/>
        <w:bidi w:val="0"/>
        <w:spacing w:before="120" w:after="0"/>
        <w:jc w:val="both"/>
        <w:rPr>
          <w:rFonts w:ascii="Times New Roman" w:hAnsi="Times New Roman"/>
          <w:sz w:val="20"/>
        </w:rPr>
      </w:pPr>
      <w:r>
        <w:rPr>
          <w:rFonts w:ascii="Times New Roman" w:hAnsi="Times New Roman"/>
          <w:sz w:val="20"/>
        </w:rPr>
        <w:t xml:space="preserve">We have estimated, and may in the future estimate, the timing of the accomplishment of various scientific, clinical, manufacturing, regulatory and other product development objectives. These milestones have and may include our expectations regarding the commencement or completion of preclinical studies and clinical trials, data readouts, the submission of regulatory filings, the receipt of marketing approval or the realization of other commercialization objectives. The achievement of many of these milestones may be outside of our control. All of these milestones are based on a variety of assumptions, including assumptions regarding capital resources, constraints and priorities, progress of and results from development activities and the receipt of key regulatory approvals or actions, any of which may cause the timing of achievement of the milestones to vary considerably from our estimates. If we or our collaborators fail to achieve announced milestones in the expected timeframes, the commercialization of the product candidates may be delayed, our credibility may be undermined, our business and results of operations may be harmed and the trading price of our common stock may decline.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Business and Operations </w:t>
      </w:r>
    </w:p>
    <w:p>
      <w:pPr>
        <w:pStyle w:val="TextBody"/>
        <w:bidi w:val="0"/>
        <w:spacing w:before="120" w:after="0"/>
        <w:jc w:val="both"/>
        <w:rPr>
          <w:rFonts w:ascii="Times New Roman" w:hAnsi="Times New Roman"/>
          <w:b/>
          <w:i/>
          <w:sz w:val="20"/>
        </w:rPr>
      </w:pPr>
      <w:r>
        <w:rPr>
          <w:rFonts w:ascii="Times New Roman" w:hAnsi="Times New Roman"/>
          <w:b/>
          <w:i/>
          <w:sz w:val="20"/>
        </w:rPr>
        <w:t xml:space="preserve">Our future performance is dependent on our ability to retain key employees and to attract, retain and motivate qualified personnel and manage our human capital. </w:t>
      </w:r>
    </w:p>
    <w:p>
      <w:pPr>
        <w:pStyle w:val="TextBody"/>
        <w:bidi w:val="0"/>
        <w:spacing w:before="120" w:after="0"/>
        <w:jc w:val="both"/>
        <w:rPr>
          <w:rFonts w:ascii="Times New Roman" w:hAnsi="Times New Roman"/>
          <w:sz w:val="20"/>
        </w:rPr>
      </w:pPr>
      <w:r>
        <w:rPr>
          <w:rFonts w:ascii="Times New Roman" w:hAnsi="Times New Roman"/>
          <w:sz w:val="20"/>
        </w:rPr>
        <w:t xml:space="preserve">Our ability to compete in the highly competitive biotechnology and biopharmaceutical industries is largely dependent on our ability to attract, motivate and retain highly qualified managerial, clinical, quality control, scientific and medical personnel. We are highly dependent on the development and management expertise of our executive officer team. We currently do not maintain “key person” life insurance on these individuals or any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our employees. This lack of insurance means that we may not have adequate compensation for the loss of the services of these individuals. The loss of one or more members of our management team or other key employees or advisors could delay our research and development programs and have a material and adverse effect on our business, financial condition, results of operations and prospects. We are dependent on the continued service of our technical personnel, because of the highly technical nature of ATTO-1310, ATTO-2306 and ATTO-1091 or any future product candidates and technologies, and the specialized nature of the regulatory approval process. Because our management team and key employees are not obligated to provide us with continued service, they could terminate their employment with us at any time without penalty. </w:t>
      </w:r>
    </w:p>
    <w:p>
      <w:pPr>
        <w:pStyle w:val="TextBody"/>
        <w:bidi w:val="0"/>
        <w:spacing w:before="240" w:after="0"/>
        <w:jc w:val="both"/>
        <w:rPr>
          <w:rFonts w:ascii="Times New Roman" w:hAnsi="Times New Roman"/>
          <w:sz w:val="20"/>
        </w:rPr>
      </w:pPr>
      <w:r>
        <w:rPr>
          <w:rFonts w:ascii="Times New Roman" w:hAnsi="Times New Roman"/>
          <w:sz w:val="20"/>
        </w:rPr>
        <w:t xml:space="preserve">In addition, job candidates and existing employees often consider the value of the stock awards they receive in connection with their employment. If the perceived benefits of our stock awards decline, either because we are a public company or for other reasons, it may harm our ability to recruit and retain highly skilled employees.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 </w:t>
      </w:r>
    </w:p>
    <w:p>
      <w:pPr>
        <w:pStyle w:val="TextBody"/>
        <w:bidi w:val="0"/>
        <w:spacing w:before="240" w:after="0"/>
        <w:jc w:val="both"/>
        <w:rPr>
          <w:rFonts w:ascii="Times New Roman" w:hAnsi="Times New Roman"/>
          <w:sz w:val="20"/>
        </w:rPr>
      </w:pPr>
      <w:r>
        <w:rPr>
          <w:rFonts w:ascii="Times New Roman" w:hAnsi="Times New Roman"/>
          <w:sz w:val="20"/>
        </w:rPr>
        <w:t xml:space="preserve">We primarily conduct our in-person operations at our corporate headquarters and research and development facility in San Carlos, California. This region is headquarters to many other biopharmaceutical companies and academic and research institutions. Competition for skilled personnel in our market, and nationally, is intense and may limit our ability to hire and retain highly qualified personnel on acceptable terms or at all. We also face competition for personnel from other companies, universities, public and private research institutions, government entities and other organizations. Our industry has experienced a high rate of turnover of management personnel in recent years. Our future performance will be dependent in large part on our continued ability to attract and retain highly qualified scientific, technical and management personnel, as well as personnel with expertise in clinical testing, manufacturing, governmental regulation and commercialization. If we are unable to continue to attract and retain high-quality personnel, the rate and success at which we can discover and develop product candidates will be limited, which could have a material and adverse effect on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future growth may be dependent, in part, on our ability to operate in foreign markets, where we would be subject to additional regulatory burdens and other risks and uncertainties. </w:t>
      </w:r>
    </w:p>
    <w:p>
      <w:pPr>
        <w:pStyle w:val="TextBody"/>
        <w:bidi w:val="0"/>
        <w:spacing w:before="120" w:after="0"/>
        <w:jc w:val="both"/>
        <w:rPr>
          <w:rFonts w:ascii="Times New Roman" w:hAnsi="Times New Roman"/>
          <w:sz w:val="20"/>
        </w:rPr>
      </w:pPr>
      <w:r>
        <w:rPr>
          <w:rFonts w:ascii="Times New Roman" w:hAnsi="Times New Roman"/>
          <w:sz w:val="20"/>
        </w:rPr>
        <w:t xml:space="preserve">Our future growth may be dependent, in part, on our ability to develop and commercialize ATTO-1310, ATTO-2306 and ATTO-1091, if approved, and any future product candidates in foreign markets for which we may rely on collaboration with third parties. We are not permitted to market or promote ATTO-1310, ATTO-2306, ATTO-1091 or any future product candidates before we receive regulatory approval from the applicable regulatory authority in that foreign market and may never receive such regulatory approval for ATTO-1310, ATTO-2306, ATTO-1091 or any future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ATTO-1310, ATTO-2306, ATTO-1091 or any future product candidates, and we cannot predict success in these jurisdictions. If we fail to comply with the regulatory requirements in international markets and receive applicable regulatory approvals, our target market will be reduced and our ability to realize the full market potential of ATTO-1310, ATTO-2306, ATTO-1091 or any future product candidates will be harmed and our business will be adversely affected. We may not obtain foreign regulatory approvals on a timely basis, if at all. Our failure to obtain approval of any of ATTO-1310, ATTO-2306, ATTO-1091 or any future product candidates by regulatory authorities in another country may significantly diminish the commercial prospects of that product candidate and our business, financial condition, results of operations and prospects could be materially and adversely affected. Moreover, even if we obtain approval of ATTO-1310, ATTO-2306, ATTO-1091 or any future product candidates and ultimately commercialize ATTO-1310, ATTO-2306, ATTO-1091 or any future product candidates in foreign markets, we would be subject to the risks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uncertainties, including the burden of complying with complex and changing foreign regulatory, tax, accounting and legal requirements and reduced protection of intellectual property rights in some foreign countries.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expect to expand our development, clinical and regulatory capabilities and operations as we grow, and as a result, we may encounter difficulties in managing our growth, which could disrupt our operations. </w:t>
      </w:r>
    </w:p>
    <w:p>
      <w:pPr>
        <w:pStyle w:val="TextBody"/>
        <w:bidi w:val="0"/>
        <w:spacing w:before="120" w:after="0"/>
        <w:jc w:val="both"/>
        <w:rPr>
          <w:rFonts w:ascii="Times New Roman" w:hAnsi="Times New Roman"/>
          <w:sz w:val="20"/>
        </w:rPr>
      </w:pPr>
      <w:r>
        <w:rPr>
          <w:rFonts w:ascii="Times New Roman" w:hAnsi="Times New Roman"/>
          <w:sz w:val="20"/>
        </w:rPr>
        <w:t xml:space="preserve">As of June 30, 2026, we had 44 full-time employees. We expect to increase the number of our employees and the scope of our operations, particularly in the areas of clinical development, clinical operations, manufacturing, late-stage regulatory affairs, finance, accounting, management information systems, business operations, public company compliance, communications and other corporate development functions, and, if ATTO-1310, ATTO-2306, ATTO-1091 or any of our future product candidates receive regulatory approval, sales, marketing and distribution capabilities. If we acquire additional product candidates or enter into future collaborations, we may have to further expand our employee base beyond our current projections, which may include further preclinical research and development or later-stage regulatory operations.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As our operations expand, we also expect that we will need to manage additional relationships with various strategic partners, suppliers and other third parties. The expansion of our operations may lead to significant costs and may divert our management and business development resources. </w:t>
      </w:r>
    </w:p>
    <w:p>
      <w:pPr>
        <w:pStyle w:val="TextBody"/>
        <w:bidi w:val="0"/>
        <w:spacing w:before="240" w:after="0"/>
        <w:jc w:val="both"/>
        <w:rPr>
          <w:rFonts w:ascii="Times New Roman" w:hAnsi="Times New Roman"/>
          <w:sz w:val="20"/>
        </w:rPr>
      </w:pPr>
      <w:r>
        <w:rPr>
          <w:rFonts w:ascii="Times New Roman" w:hAnsi="Times New Roman"/>
          <w:sz w:val="20"/>
        </w:rPr>
        <w:t xml:space="preserve">If we are not able to effectively manage growth and expand our operations, we may not be able to successfully implement the tasks necessary to further develop and commercialize, if approved, ATTO-1310, ATTO-2306, ATTO-1091 or any future product candidates and, accordingly, we may not achieve our research, development and commercialization goals.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face substantial competition, which may result in others discovering, developing or commercializing products before or more successfully than we do. </w:t>
      </w:r>
    </w:p>
    <w:p>
      <w:pPr>
        <w:pStyle w:val="TextBody"/>
        <w:bidi w:val="0"/>
        <w:spacing w:before="120" w:after="0"/>
        <w:jc w:val="both"/>
        <w:rPr>
          <w:rFonts w:ascii="Times New Roman" w:hAnsi="Times New Roman"/>
          <w:sz w:val="20"/>
        </w:rPr>
      </w:pPr>
      <w:r>
        <w:rPr>
          <w:rFonts w:ascii="Times New Roman" w:hAnsi="Times New Roman"/>
          <w:sz w:val="20"/>
        </w:rPr>
        <w:t xml:space="preserve">The development and commercialization of new drug products is highly competitive. We face competition from entities that have made substantial investments into the rapid development of novel treatments for disorders associated with immune-mediated diseases, including large and specialty biopharmaceutical and biotechnology companies, some of which already have approved therapies in our current indications. The development and commercialization of therapeutic candidates for disorders associated with immune-mediated diseases is highly competitive. Our current and any future product candidates, if approved, will face significant competition, including from well-established, currently marketed therapies or recommended standards of care, and our failure to demonstrate a meaningful improvement to the existing standards of care may prevent us from achieving significant market penetration. Many of our competitors have significantly greater resources and experience than we do and we may not be able to successfully compete. We face substantial competition from multiple sources, including large and specialty biopharmaceutical and biotechnology companies, academic research institutions and governmental agencies and public and private research institutions. </w:t>
      </w:r>
    </w:p>
    <w:p>
      <w:pPr>
        <w:pStyle w:val="TextBody"/>
        <w:bidi w:val="0"/>
        <w:spacing w:before="240" w:after="0"/>
        <w:jc w:val="both"/>
        <w:rPr>
          <w:rFonts w:ascii="Times New Roman" w:hAnsi="Times New Roman"/>
          <w:sz w:val="20"/>
        </w:rPr>
      </w:pPr>
      <w:r>
        <w:rPr>
          <w:rFonts w:ascii="Times New Roman" w:hAnsi="Times New Roman"/>
          <w:sz w:val="20"/>
        </w:rPr>
        <w:t xml:space="preserve">Our current product candidates, initially under development for treatment of various immune-mediated diseases, if approved, would face competition from approved treatments, some of which have achieved commercial success. To compete successfully, we need to differentiate our product candidates from these currently marketed drugs, meaning that we will have to demonstrate that the relative cost, method of administration, safety, tolerability or efficacy of our product candidates provides a better alternative to existing and new therapies. Our commercial opportunity and likelihood of success will be reduced or eliminated if our product candidates are not ultimately demonstrated to be safer, more effective, more conveniently administered or less expensive than the current standards of care. Furthermore, even if our product candidates are able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achieve these attributes, acceptance of our products may be inhibited by the reluctance of physicians to switch from existing therapies to our products, or if physicians choose to reserve our products for use in limited circumstances. </w:t>
      </w:r>
    </w:p>
    <w:p>
      <w:pPr>
        <w:pStyle w:val="TextBody"/>
        <w:bidi w:val="0"/>
        <w:spacing w:before="240" w:after="0"/>
        <w:jc w:val="both"/>
        <w:rPr>
          <w:rFonts w:ascii="Times New Roman" w:hAnsi="Times New Roman"/>
          <w:sz w:val="20"/>
        </w:rPr>
      </w:pPr>
      <w:r>
        <w:rPr>
          <w:rFonts w:ascii="Times New Roman" w:hAnsi="Times New Roman"/>
          <w:sz w:val="20"/>
        </w:rPr>
        <w:t xml:space="preserve">Many of our competitors have significantly greater financial, technical, manufacturing, marketing, sales and supply resources or experience than us. If we obtain regulatory approval for any product candidate, we will face competition based on many different factors, including the safety and effectiveness of our current or any future product candidates, the ease with which our current or any future product candidates can be administered and the extent to which participants accept relatively new routes of administration, the timing and scope of regulatory approvals for these product candidates,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obsolete or noncompetitive before we recover the expense of developing and commercializing our current or any future product candidates. Such competitors could also recruit our employees, which could negatively impact our level of expertise and our ability to execute our business plan. In addition, any collaborators may decide to market and sell products that compete with the product candidates that we have agreed to license to them, and any competition by our collaborators could also have a material adverse effect on our future business, financial condition, and results of operations. Mergers and acquisitions in the biopharmaceutical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management and other personnel and establishing clinical trial sites and patient/participant registration for clinical trials, as well as in acquiring technologies complementary to, or necessary for, our programs.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depend on the efficient and uninterrupted availability and use of our data, the uninterrupted operation of our information technology systems, and the information technology systems of the third-party vendors, contractors, consultants and other partners (collectively, third parties) with whom we work, which may fail or suffer security incidents, cyberattacks, loss of data and other disruptions. If such systems or our data are or were compromised, we may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impacts to our business. </w:t>
      </w:r>
    </w:p>
    <w:p>
      <w:pPr>
        <w:pStyle w:val="TextBody"/>
        <w:bidi w:val="0"/>
        <w:spacing w:before="120" w:after="0"/>
        <w:jc w:val="both"/>
        <w:rPr>
          <w:rFonts w:ascii="Times New Roman" w:hAnsi="Times New Roman"/>
          <w:sz w:val="20"/>
        </w:rPr>
      </w:pPr>
      <w:r>
        <w:rPr>
          <w:rFonts w:ascii="Times New Roman" w:hAnsi="Times New Roman"/>
          <w:sz w:val="20"/>
        </w:rPr>
        <w:t xml:space="preserve">We are increasingly dependent on information technology systems, infrastructure and data to operate our business. In the ordinary course of business, we, and the third parties with whom we work, collect, process, store, generate, transfer, and transmit (collectively, process) a significant amount of personal information and other sensitive information, including our proprietary and confidential business data, trade secrets, employee data, intellectual property, data we collect about trial participants in connection with clinical trials, and other sensitive third-party data (collectively, sensitive data). It is important that we do so in a manner designed to maintain the availability, confidentiality, and integrity of such data. </w:t>
      </w:r>
    </w:p>
    <w:p>
      <w:pPr>
        <w:pStyle w:val="TextBody"/>
        <w:bidi w:val="0"/>
        <w:spacing w:before="240" w:after="0"/>
        <w:jc w:val="both"/>
        <w:rPr>
          <w:rFonts w:ascii="Times New Roman" w:hAnsi="Times New Roman"/>
          <w:sz w:val="20"/>
        </w:rPr>
      </w:pPr>
      <w:r>
        <w:rPr>
          <w:rFonts w:ascii="Times New Roman" w:hAnsi="Times New Roman"/>
          <w:sz w:val="20"/>
        </w:rPr>
        <w:t xml:space="preserve">We and the third parties with whom we work may experience security incidents caused by our personnel, vendors, or other external actors, including cyber-attacks, malicious internet-based activity, online and offline fraud, and other activities that could threaten the confidentiality, integrity, and availability of our sensitive data and information technology systems and those of the third parties with whom we work. Such threats are prevalent, continue to rise, are increasingly difficult to detect, and come from a variety of sources, including criminals, “hacktivists,” insiders, and sophisticated nation state or state-supported actors. We and the third parties with whom we work are subject to evolving threats such as social-engineering attacks (including deep fakes and phishing), malicious code (such as viruses and worms), malware (including advanced persistent threat intrusions), denial-of-service attacks, credential stuffing, credential harvesting, personnel misconduct or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ransomware attacks, supply-chain attacks, software bugs, server malfunctions, software or hardware failures, loss of data, adware, telecommunications failures, earthquakes, fires, floods, attacks enhanced or facilitated by artificial intelligence, and other similar threats. </w:t>
      </w:r>
    </w:p>
    <w:p>
      <w:pPr>
        <w:pStyle w:val="TextBody"/>
        <w:bidi w:val="0"/>
        <w:spacing w:before="240" w:after="0"/>
        <w:jc w:val="both"/>
        <w:rPr>
          <w:rFonts w:ascii="Times New Roman" w:hAnsi="Times New Roman"/>
          <w:sz w:val="20"/>
        </w:rPr>
      </w:pPr>
      <w:r>
        <w:rPr>
          <w:rFonts w:ascii="Times New Roman" w:hAnsi="Times New Roman"/>
          <w:sz w:val="20"/>
        </w:rPr>
        <w:t xml:space="preserve">It may be difficult 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the same or other networks and systems after a compromise of our networks and systems or those of the third parties with whom we work. </w:t>
      </w:r>
    </w:p>
    <w:p>
      <w:pPr>
        <w:pStyle w:val="TextBody"/>
        <w:bidi w:val="0"/>
        <w:spacing w:before="240" w:after="0"/>
        <w:jc w:val="both"/>
        <w:rPr>
          <w:rFonts w:ascii="Times New Roman" w:hAnsi="Times New Roman"/>
          <w:sz w:val="20"/>
        </w:rPr>
      </w:pPr>
      <w:r>
        <w:rPr>
          <w:rFonts w:ascii="Times New Roman" w:hAnsi="Times New Roman"/>
          <w:sz w:val="20"/>
        </w:rPr>
        <w:t xml:space="preserve">Remote work has increased risks to our information technology systems and data, as our employees utilize network connections, computers and devices outside our premises or network, including working at home, while in transit and in public locations. </w:t>
      </w:r>
    </w:p>
    <w:p>
      <w:pPr>
        <w:pStyle w:val="TextBody"/>
        <w:bidi w:val="0"/>
        <w:spacing w:before="240" w:after="0"/>
        <w:jc w:val="both"/>
        <w:rPr>
          <w:rFonts w:ascii="Times New Roman" w:hAnsi="Times New Roman"/>
          <w:sz w:val="20"/>
        </w:rPr>
      </w:pPr>
      <w:r>
        <w:rPr>
          <w:rFonts w:ascii="Times New Roman" w:hAnsi="Times New Roman"/>
          <w:sz w:val="20"/>
        </w:rPr>
        <w:t xml:space="preserve">Future business transactions (such as acquisitions) could expose us to additional cybersecurity risks and vulnerabilities as our systems could be negatively affected by vulnerabilities present in acquired or integrated entities’ systems and technologies. Furthermore, we may discover security issues not found during due diligence of such acquired or integrated entities or it may be difficult to integrate companies into our information technology environment and security program. </w:t>
      </w:r>
    </w:p>
    <w:p>
      <w:pPr>
        <w:pStyle w:val="TextBody"/>
        <w:bidi w:val="0"/>
        <w:spacing w:before="240" w:after="0"/>
        <w:jc w:val="both"/>
        <w:rPr>
          <w:rFonts w:ascii="Times New Roman" w:hAnsi="Times New Roman"/>
          <w:sz w:val="20"/>
        </w:rPr>
      </w:pPr>
      <w:r>
        <w:rPr>
          <w:rFonts w:ascii="Times New Roman" w:hAnsi="Times New Roman"/>
          <w:sz w:val="20"/>
        </w:rPr>
        <w:t xml:space="preserve">We also outsource certain elements of our information technology systems and operations to various third parties. Our ability to monitor these third parties’ information security practices is limited, and these third parties may not have adequate information security measures in place despite any applicable contractual representations and warranties to do so. If the third parties with whom we work experience a security incident or other interruption, we could experience adverse consequences. While we may be entitled to damages if such third parties fail to satisfy their privacy or security-related obligations to us, any award may be insufficient to cover our damages, or we may be unable to recover any such award. In addition, supply-chain attacks have increased in frequency and severity, and we cannot guarantee that third parties’ infrastructure in our supply chain or that of the third parties with whom we work have not been or will not be compromised. </w:t>
      </w:r>
    </w:p>
    <w:p>
      <w:pPr>
        <w:pStyle w:val="TextBody"/>
        <w:bidi w:val="0"/>
        <w:spacing w:before="240" w:after="0"/>
        <w:jc w:val="both"/>
        <w:rPr>
          <w:rFonts w:ascii="Times New Roman" w:hAnsi="Times New Roman"/>
          <w:sz w:val="20"/>
        </w:rPr>
      </w:pPr>
      <w:r>
        <w:rPr>
          <w:rFonts w:ascii="Times New Roman" w:hAnsi="Times New Roman"/>
          <w:sz w:val="20"/>
        </w:rPr>
        <w:t xml:space="preserve">We, and the third parties with whom we work, take steps designed to detect, mitigate, and remediate vulnerabilities in our information systems; however, we may not detect and remediate all such vulnerabilities on a timely basis. Further, we may experience delays in developing and deploying remedial measures and patches designed to address identified vulnerabilities. Vulnerabilities could be exploited and result in a security incident. </w:t>
      </w:r>
    </w:p>
    <w:p>
      <w:pPr>
        <w:pStyle w:val="TextBody"/>
        <w:bidi w:val="0"/>
        <w:spacing w:before="240" w:after="0"/>
        <w:jc w:val="both"/>
        <w:rPr>
          <w:rFonts w:ascii="Times New Roman" w:hAnsi="Times New Roman"/>
          <w:sz w:val="20"/>
        </w:rPr>
      </w:pPr>
      <w:r>
        <w:rPr>
          <w:rFonts w:ascii="Times New Roman" w:hAnsi="Times New Roman"/>
          <w:sz w:val="20"/>
        </w:rPr>
        <w:t xml:space="preserve">Despite the implementation of these security measures, 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with whom we work. A security incident or other interruption could disrupt our or the third parties with whom we work’s ability to provide our services. </w:t>
      </w:r>
    </w:p>
    <w:p>
      <w:pPr>
        <w:pStyle w:val="TextBody"/>
        <w:bidi w:val="0"/>
        <w:spacing w:before="240" w:after="0"/>
        <w:jc w:val="both"/>
        <w:rPr>
          <w:rFonts w:ascii="Times New Roman" w:hAnsi="Times New Roman"/>
          <w:sz w:val="20"/>
        </w:rPr>
      </w:pPr>
      <w:r>
        <w:rPr>
          <w:rFonts w:ascii="Times New Roman" w:hAnsi="Times New Roman"/>
          <w:sz w:val="20"/>
        </w:rPr>
        <w:t xml:space="preserve">To try to protect our information technology systems and sensitive data, we have expended and may expend significant resources to implement and maintain specific security measures, industry standards, and reasonable security measures. Applicable data privacy and security obligations may require us, or we may voluntarily choose, to notify relevant stakeholders, including affected individuals, customers, regulatory authorities,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 </w:t>
      </w:r>
    </w:p>
    <w:p>
      <w:pPr>
        <w:pStyle w:val="TextBody"/>
        <w:bidi w:val="0"/>
        <w:spacing w:before="240" w:after="0"/>
        <w:jc w:val="both"/>
        <w:rPr>
          <w:rFonts w:ascii="Times New Roman" w:hAnsi="Times New Roman"/>
          <w:sz w:val="20"/>
        </w:rPr>
      </w:pPr>
      <w:r>
        <w:rPr>
          <w:rFonts w:ascii="Times New Roman" w:hAnsi="Times New Roman"/>
          <w:sz w:val="20"/>
        </w:rPr>
        <w:t xml:space="preserve">The risk of a security incident or other disruption has generally increased as the number, intensity, and the sophistication of attempted and successful attacks and intrusions from around the world have increased. We may not be able to anticipate all types of security threats, nor implement effective preventive measures against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such security threats. If we (or a third party with whom we work) experience or are perceived to have experienced a security incident involving sensitive data or information technology systems, we may experience material adverse consequences, such as government enforcement actions (for example, investigations, fines, penalties, audits, or inspections); additional reporting requirements or oversight; restrictions on processing sensitive data; litigation (including possible class-action claims); indemnification obligations; negative publicity; reputational harm; monetary fund diversions; diversion of management attention; interruptions in our operations (including availability of data); financial loss; and other similar harms. Security incidents and attendant material consequences may cause existing customers to stop enrolling patients in our sponsored clinical trials or prescribing our products, deter new customers from doing so, and negatively impact our ability to grow and operate our business. Furthermore, if the information technology systems of a third party with whom we work become subject to a security incident or other disruption, we may have insufficient recourse against such third parties and we may have to expend significant resources to mitigate the impact of such an event, and to develop and implement protections to prevent future events of this nature from occurring. </w:t>
      </w:r>
    </w:p>
    <w:p>
      <w:pPr>
        <w:pStyle w:val="TextBody"/>
        <w:bidi w:val="0"/>
        <w:spacing w:before="240" w:after="0"/>
        <w:jc w:val="both"/>
        <w:rPr>
          <w:rFonts w:ascii="Times New Roman" w:hAnsi="Times New Roman"/>
          <w:sz w:val="20"/>
        </w:rPr>
      </w:pPr>
      <w:r>
        <w:rPr>
          <w:rFonts w:ascii="Times New Roman" w:hAnsi="Times New Roman"/>
          <w:sz w:val="20"/>
        </w:rPr>
        <w:t xml:space="preserve">Significant disruptions of our information technology systems or those of the third parties with whom we work, or security breaches could result in the loss, misappropriation or unauthorized access, use, or disclosure of, or the prevention of access to, confidential information (including trade secrets or other intellectual property or proprietary business information) and claims by our counterparties that we have failed to comply with legal or contractual obligations, which could result in financial, legal, business, and reputational harm to us. </w:t>
      </w:r>
    </w:p>
    <w:p>
      <w:pPr>
        <w:pStyle w:val="TextBody"/>
        <w:bidi w:val="0"/>
        <w:spacing w:before="240" w:after="0"/>
        <w:jc w:val="both"/>
        <w:rPr>
          <w:rFonts w:ascii="Times New Roman" w:hAnsi="Times New Roman"/>
          <w:sz w:val="20"/>
        </w:rPr>
      </w:pPr>
      <w:r>
        <w:rPr>
          <w:rFonts w:ascii="Times New Roman" w:hAnsi="Times New Roman"/>
          <w:sz w:val="20"/>
        </w:rPr>
        <w:t xml:space="preserve">There can be no assurance that the limitations of liability in our contracts would be enforceable or adequate to protect us from liabilities and damage, and we may not have adequate insurance coverage to cover all types of costs, expenses and losses we could incur with respect to security breaches or disruptions. The successful assertion of one or more large claims against us that exceed any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and the third parties with whom we work, are, or may in the future become, subject to stringent and changing obligations related to data privacy and security. Our (or their) actual or perceived failure to comply with such obligations could lead to regulatory investigations or actions; litigation (including class-action claims) or mass arbitration demands; fines or penalties; disruptions to our business operations; reputational harm; loss of revenue or profits; loss of customers or sales; and other adverse business consequences. </w:t>
      </w:r>
    </w:p>
    <w:p>
      <w:pPr>
        <w:pStyle w:val="TextBody"/>
        <w:bidi w:val="0"/>
        <w:spacing w:before="120" w:after="0"/>
        <w:jc w:val="both"/>
        <w:rPr>
          <w:rFonts w:ascii="Times New Roman" w:hAnsi="Times New Roman"/>
          <w:sz w:val="20"/>
        </w:rPr>
      </w:pPr>
      <w:r>
        <w:rPr>
          <w:rFonts w:ascii="Times New Roman" w:hAnsi="Times New Roman"/>
          <w:sz w:val="20"/>
        </w:rPr>
        <w:t xml:space="preserve">The global data protection landscape is rapidly evolving and our data processing activities subject us to numerous data privacy and security obligations, such as various state, federal and foreign laws, regulations, guidance, industry standards, external and internal privacy and security policies, contractual requirements and other obligations that govern the processing of sensitive data by us and on our behalf, and we may be subject to new or additional obligations related to data privacy and security and face increased scrutiny from regulatory authorities as our business grows. The legislative and regulatory landscape for data privacy and security continues to evolve worldwide, and there has been an increasing focus on these issues with the potential to adversely affect our business. Various global legislative and regulatory bodies, or self-regulatory organizations, may expand current laws, rules or regulations, enact new ones or issue guidance regarding data privacy and security that could impact our business. As implementation standards and enforcement practices are likely to remain uncertain for the foreseeable future, we cannot yet determine the impact that future privacy and security obligations may have on our business. This evolution creates uncertainty in our business and may affect our ability to operate in certain jurisdictions or to process sensitive data, necessitate the acceptance of more onerous obligations in our contracts, result in liability, or impose additional costs on us. The cost of compliance with these obligations is high and is likely to increase in the future. Any failure or perceived failure by us to comply with federal, state or foreign laws or regulations, our internal policies and procedures or our contracts governing our processing of sensitive data could result in negative publicity, government investigations or enforcement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actions, claims by third parties or damage to our reputation, any of which could have a material adverse effect on our business, financial condition, results of operations and prospects. </w:t>
      </w:r>
    </w:p>
    <w:p>
      <w:pPr>
        <w:pStyle w:val="TextBody"/>
        <w:bidi w:val="0"/>
        <w:spacing w:before="240" w:after="0"/>
        <w:jc w:val="both"/>
        <w:rPr>
          <w:rFonts w:ascii="Times New Roman" w:hAnsi="Times New Roman"/>
          <w:sz w:val="20"/>
        </w:rPr>
      </w:pPr>
      <w:r>
        <w:rPr>
          <w:rFonts w:ascii="Times New Roman" w:hAnsi="Times New Roman"/>
          <w:sz w:val="20"/>
        </w:rPr>
        <w:t xml:space="preserve">In the United States, federal, state, and local governments have enacted numerous data privacy and security laws, including consumer protection laws (e.g., Section 5 of the Federal Trade Commission Act), comprehensive consumer privacy laws, sector-specific privacy laws, data breach notification laws, laws regarding marketing, and other similar laws governing the processing of sensitive data that we are or may in the future be required to comply with. In addition, we obtain health information from third parties (including research institutions from which we obtain clinical trial data) that is subject to privacy and security requirements under the Health Insurance Portability and Accountability Act (HIPAA), which imposes among other things, certain requirements relating to the privacy, security, transmission, and breach of individually identifiable health information. If we violate HIPAA, depending on the specific facts and circumstances, we could be subject to significant fines, penalties or regulatory inquiries or actions. </w:t>
      </w:r>
    </w:p>
    <w:p>
      <w:pPr>
        <w:pStyle w:val="TextBody"/>
        <w:bidi w:val="0"/>
        <w:spacing w:before="240" w:after="0"/>
        <w:jc w:val="both"/>
        <w:rPr>
          <w:rFonts w:ascii="Times New Roman" w:hAnsi="Times New Roman"/>
          <w:sz w:val="20"/>
        </w:rPr>
      </w:pPr>
      <w:r>
        <w:rPr>
          <w:rFonts w:ascii="Times New Roman" w:hAnsi="Times New Roman"/>
          <w:sz w:val="20"/>
        </w:rPr>
        <w:t xml:space="preserve">Over a third of U.S. states have enacted comprehensive consumer privacy laws that impose certain obligations on covered businesses, including providing specific disclosures in privacy notices and affording residents with certain rights concerning their personal information. Similar laws are being considered in several other states, as well as at the federal and local levels, and we expect more states to pass similar laws in the future. While these states exempt some data processed in the context of clinical trials, these developments may further complicate compliance efforts and increase legal risk and compliance costs for us and the third parties with whom we work. Certain states have also adopted specific privacy and security laws and regulations which govern the privacy, processing and protection of health-related personal information. Such laws and regulations will likely be subject to interpretation by various courts and other governmental authorities, creating potentially complex compliance issues for us and our future customers and strategic partners. In addition to government activity, privacy advocacy groups and technology and other industries continue to consider new or revised self-regulatory standards related to privacy and security that may place additional burdens on us. </w:t>
      </w:r>
    </w:p>
    <w:p>
      <w:pPr>
        <w:pStyle w:val="TextBody"/>
        <w:bidi w:val="0"/>
        <w:spacing w:before="240" w:after="0"/>
        <w:jc w:val="both"/>
        <w:rPr>
          <w:rFonts w:ascii="Times New Roman" w:hAnsi="Times New Roman"/>
          <w:sz w:val="20"/>
        </w:rPr>
      </w:pPr>
      <w:r>
        <w:rPr>
          <w:rFonts w:ascii="Times New Roman" w:hAnsi="Times New Roman"/>
          <w:sz w:val="20"/>
        </w:rPr>
        <w:t xml:space="preserve">Outside the United States, an increasing number of laws, regulations, and industry standards govern data privacy and security. For example, in Canada, the Personal Information Protection and Electronic Documents Act (PIPEDA) and various related provincial laws apply to our operations. </w:t>
      </w:r>
    </w:p>
    <w:p>
      <w:pPr>
        <w:pStyle w:val="TextBody"/>
        <w:bidi w:val="0"/>
        <w:spacing w:before="240" w:after="0"/>
        <w:jc w:val="both"/>
        <w:rPr>
          <w:rFonts w:ascii="Times New Roman" w:hAnsi="Times New Roman"/>
          <w:sz w:val="20"/>
        </w:rPr>
      </w:pPr>
      <w:r>
        <w:rPr>
          <w:rFonts w:ascii="Times New Roman" w:hAnsi="Times New Roman"/>
          <w:sz w:val="20"/>
        </w:rPr>
        <w:t xml:space="preserve">Additionally, the U.S. Department of Justice issued a final rule, effective April 8, 2025, entitled “Preventing Access to U.S. Sensitive Personal Data and Government-Related Data by Countries of Concern or Covered Persons,” which places additional restrictions on certain data transactions involving “countries of concern” (currently, China (including Hong Kong and Macau), Russia, Iran, North Korea, Cuba and Venezuela) and “covered persons” (entities owned by, organized under the laws of, or operating in such countries, as well as certain individuals affiliated with those countries). The rule restricts or prohibits a range of business activities, such as vendor engagements, data brokerage transactions, employment of certain individuals, and certain investor agreements, if they involve the transfer or access to “sensitive personal data” (such as precise geolocation data, biometric identifiers, personal health data, and personal financial data) above specific thresholds. Certain transactions may be permitted if specific security requirements are met or exemptions apply, but others may be outright prohibited. Violations of the rule could result in significant civil and criminal fines and penalties. Aside from certain narrow exemptions, the rule applies regardless of whether data is anonymized, key-coded, pseudonymized, de-identified or encrypted, which may present challenges for companies like ours and may impact our ability to transfer data in connection with certain transactions or agreements. </w:t>
      </w:r>
    </w:p>
    <w:p>
      <w:pPr>
        <w:pStyle w:val="TextBody"/>
        <w:bidi w:val="0"/>
        <w:spacing w:before="240" w:after="0"/>
        <w:jc w:val="both"/>
        <w:rPr>
          <w:rFonts w:ascii="Times New Roman" w:hAnsi="Times New Roman"/>
          <w:sz w:val="20"/>
        </w:rPr>
      </w:pPr>
      <w:r>
        <w:rPr>
          <w:rFonts w:ascii="Times New Roman" w:hAnsi="Times New Roman"/>
          <w:sz w:val="20"/>
        </w:rPr>
        <w:t xml:space="preserve">In addition to data privacy and security laws, we are also bound by other contractual obligations related to data privacy and security. For example, we may be contractually required to indemnify and hold harmless third parties with whom we work from the costs or consequences of non-compliance with applicable laws, rules and regulations or other legal obligations relating to privacy or security or any inadvertent or unauthorized processing of sensitive data that we store or handle as part of operating our business. Any of these events could adversely affect our reputation, business, or financial condition, including but not limited to: loss of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interruptions or stoppages in our business operations (including clinical trials); inability to process personal information or to operate in certain jurisdictions; limited ability to develop or commercialize our products; expenditure of time and resources to defend any claim or inquiry; adverse publicity; or substantial changes to our business model or operations. We also publish privacy policies, marketing materials, and other statements concerning data privacy and security. Regulatory authorities in the United States and other jurisdictions are increasingly scrutinizing these statements, and if these policies, materials or statements are found to be deficient, deceptive, unfair, or misleading, we would be subject to investigation or enforcement actions by regulatory authorities. </w:t>
      </w:r>
    </w:p>
    <w:p>
      <w:pPr>
        <w:pStyle w:val="TextBody"/>
        <w:bidi w:val="0"/>
        <w:spacing w:before="240" w:after="0"/>
        <w:jc w:val="both"/>
        <w:rPr>
          <w:rFonts w:ascii="Times New Roman" w:hAnsi="Times New Roman"/>
          <w:sz w:val="20"/>
        </w:rPr>
      </w:pPr>
      <w:r>
        <w:rPr>
          <w:rFonts w:ascii="Times New Roman" w:hAnsi="Times New Roman"/>
          <w:sz w:val="20"/>
        </w:rPr>
        <w:t xml:space="preserve">We cannot assure you that our CROs, contract manufacturing organizations (CMOs) or other third parties with whom we work will not breach contractual obligations imposed by us, or that they will not experience data security incidents or other interruptions, which could have a corresponding effect on our business, including under privacy laws and regulations or which could in turn adversely affect our business, financial condition, results of operations and prospects. Our contractual measures and our own privacy and security-related safeguards may not be sufficient to completely protect us from the risks associated with the third-party processing of such information. Any of the foregoing could adversely affect our business, financial condition, results of operations and prospects. </w:t>
      </w:r>
    </w:p>
    <w:p>
      <w:pPr>
        <w:pStyle w:val="TextBody"/>
        <w:bidi w:val="0"/>
        <w:spacing w:before="240" w:after="0"/>
        <w:jc w:val="both"/>
        <w:rPr>
          <w:rFonts w:ascii="Times New Roman" w:hAnsi="Times New Roman"/>
          <w:sz w:val="20"/>
        </w:rPr>
      </w:pPr>
      <w:r>
        <w:rPr>
          <w:rFonts w:ascii="Times New Roman" w:hAnsi="Times New Roman"/>
          <w:sz w:val="20"/>
        </w:rPr>
        <w:t xml:space="preserve">Complying with these complex and often evolving privacy and security related obligations can be expensive, difficult, time consuming, and subject to inconsistent application and interpretation. Any actual or perceived failure to comply with any such obligations, whether by us, or by our CROs, CMOs, partners or other third parties with whom we work, could result in significant adverse consequences, including: investigation costs; material fines and penalties; compensatory, special, punitive, or statutory damages; litigation (including class-action claims) and mass arbitration demands; government enforcement actions; requirements to provide notices, credit monitoring or other services to impacted individuals; adverse actions against our licenses; bans or restrictions on processing personal information; required changes to our services, technologies, systems, or practices (or those of our partners); reputational damage; imprisonment of company officials; and injunctive relief. </w:t>
      </w:r>
    </w:p>
    <w:p>
      <w:pPr>
        <w:pStyle w:val="TextBody"/>
        <w:bidi w:val="0"/>
        <w:spacing w:before="240" w:after="0"/>
        <w:jc w:val="both"/>
        <w:rPr>
          <w:rFonts w:ascii="Times New Roman" w:hAnsi="Times New Roman"/>
          <w:sz w:val="20"/>
        </w:rPr>
      </w:pPr>
      <w:r>
        <w:rPr>
          <w:rFonts w:ascii="Times New Roman" w:hAnsi="Times New Roman"/>
          <w:sz w:val="20"/>
        </w:rPr>
        <w:t xml:space="preserve">In addition, any actual, perceived or suspected failure to comply with applicable privacy and security obligations —regardless of whether it results in unauthorized or lawful processing of sensitive data--may lead to enforcement actions, private litigation, significant fines and penalties, regulatory investigations, adverse publicity, loss of customer trust, and other consequences that could adversely affect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If we, or any contract manufacturers or suppliers we engage, fail to comply with environmental, health and safety laws and regulations, we could become subject to fines or penalties or incur costs that could harm our business. </w:t>
      </w:r>
    </w:p>
    <w:p>
      <w:pPr>
        <w:pStyle w:val="TextBody"/>
        <w:bidi w:val="0"/>
        <w:spacing w:before="120" w:after="0"/>
        <w:jc w:val="both"/>
        <w:rPr>
          <w:rFonts w:ascii="Times New Roman" w:hAnsi="Times New Roman"/>
          <w:sz w:val="20"/>
        </w:rPr>
      </w:pPr>
      <w:r>
        <w:rPr>
          <w:rFonts w:ascii="Times New Roman" w:hAnsi="Times New Roman"/>
          <w:sz w:val="20"/>
        </w:rPr>
        <w:t xml:space="preserve">We and our third-party contractors are subject to numerous federal, state, local and foreign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 We could also be held liable for unexpected safety events that could happen in our business offices. </w:t>
      </w:r>
    </w:p>
    <w:p>
      <w:pPr>
        <w:pStyle w:val="TextBody"/>
        <w:bidi w:val="0"/>
        <w:spacing w:before="240" w:after="0"/>
        <w:jc w:val="both"/>
        <w:rPr>
          <w:rFonts w:ascii="Times New Roman" w:hAnsi="Times New Roman"/>
          <w:sz w:val="20"/>
        </w:rPr>
      </w:pPr>
      <w:r>
        <w:rPr>
          <w:rFonts w:ascii="Times New Roman" w:hAnsi="Times New Roman"/>
          <w:sz w:val="20"/>
        </w:rPr>
        <w:t xml:space="preserve">In addition, our leasing and operation of real property may subject us to liability pursuant to certain of these laws or regulations. Under existing United States environmental laws and regulations, current or previous owners or operators of real property and entities that disposed or arranged for the disposal of hazardous substances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be held strictly, jointly and severally liable for the cost of investigating or remediating contamination caused by hazardous substance releases, even if they did not know of and were not responsible for the releases. </w:t>
      </w:r>
    </w:p>
    <w:p>
      <w:pPr>
        <w:pStyle w:val="TextBody"/>
        <w:bidi w:val="0"/>
        <w:spacing w:before="240" w:after="0"/>
        <w:jc w:val="both"/>
        <w:rPr>
          <w:rFonts w:ascii="Times New Roman" w:hAnsi="Times New Roman"/>
          <w:sz w:val="20"/>
        </w:rPr>
      </w:pPr>
      <w:r>
        <w:rPr>
          <w:rFonts w:ascii="Times New Roman" w:hAnsi="Times New Roman"/>
          <w:sz w:val="20"/>
        </w:rPr>
        <w:t xml:space="preserve">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 </w:t>
      </w:r>
    </w:p>
    <w:p>
      <w:pPr>
        <w:pStyle w:val="TextBody"/>
        <w:bidi w:val="0"/>
        <w:spacing w:before="240" w:after="0"/>
        <w:jc w:val="both"/>
        <w:rPr>
          <w:rFonts w:ascii="Times New Roman" w:hAnsi="Times New Roman"/>
          <w:sz w:val="20"/>
        </w:rPr>
      </w:pPr>
      <w:r>
        <w:rPr>
          <w:rFonts w:ascii="Times New Roman" w:hAnsi="Times New Roman"/>
          <w:sz w:val="20"/>
        </w:rPr>
        <w:t xml:space="preserve">Although we maintain liability insurance to cover us for costs and expenses that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w:t>
      </w:r>
    </w:p>
    <w:p>
      <w:pPr>
        <w:pStyle w:val="TextBody"/>
        <w:bidi w:val="0"/>
        <w:spacing w:before="240" w:after="0"/>
        <w:jc w:val="both"/>
        <w:rPr>
          <w:rFonts w:ascii="Times New Roman" w:hAnsi="Times New Roman"/>
          <w:sz w:val="20"/>
        </w:rPr>
      </w:pPr>
      <w:r>
        <w:rPr>
          <w:rFonts w:ascii="Times New Roman" w:hAnsi="Times New Roman"/>
          <w:sz w:val="20"/>
        </w:rPr>
        <w:t xml:space="preserve">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business entails a significant risk of product liability and our ability to obtain sufficient insurance coverage could have a material and adverse effect on our business, financial condition, results of operations and prospects. If product liability lawsuits are brought against us, we may incur substantial liabilities and may be required to limit, delay or cease commercialization of our products. </w:t>
      </w:r>
    </w:p>
    <w:p>
      <w:pPr>
        <w:pStyle w:val="TextBody"/>
        <w:bidi w:val="0"/>
        <w:spacing w:before="120" w:after="0"/>
        <w:jc w:val="both"/>
        <w:rPr>
          <w:rFonts w:ascii="Times New Roman" w:hAnsi="Times New Roman"/>
          <w:sz w:val="20"/>
        </w:rPr>
      </w:pPr>
      <w:r>
        <w:rPr>
          <w:rFonts w:ascii="Times New Roman" w:hAnsi="Times New Roman"/>
          <w:sz w:val="20"/>
        </w:rPr>
        <w:t xml:space="preserve">When we conduct clinical trials of our current and any future product candidates, we may be exposed to significant product liability risks inherent in the development, testing, manufacturing and marketing of therapeutic treatments. Product liability claims could delay or prevent completion of our development programs. If we succeed in marketing products, if approved, such claims could result in an FDA investigation of the safety and effectiveness of our products, our manufacturing processes and facilities or our marketing programs and potentially a recall of our products or more serious enforcement action by U.S. or foreign regulatory authorities, limitations on the approved indications for which they may be used or suspension or withdrawal of approvals. If we cannot successfully defend ourselves against product liability claims, we may incur substantial liabilities or be required to limit, delay or cease the commercialization of our products. Regardless of the merits or eventual outcome, liability claims may also result in decreased demand for our products, termination of clinical trial sites or entire trial programs, withdrawal of clinical trial participants, injury to our reputation and significant negative media attention, significant costs to defend the related litigation, a diversion of management’s time and our resources from our business operations, substantial monetary awards to trial participants or patients, loss of revenue, the inability to commercialize any products that we may develop, and a decline in our stock price. </w:t>
      </w:r>
    </w:p>
    <w:p>
      <w:pPr>
        <w:pStyle w:val="TextBody"/>
        <w:bidi w:val="0"/>
        <w:spacing w:before="240" w:after="0"/>
        <w:jc w:val="both"/>
        <w:rPr>
          <w:rFonts w:ascii="Times New Roman" w:hAnsi="Times New Roman"/>
          <w:sz w:val="20"/>
        </w:rPr>
      </w:pPr>
      <w:r>
        <w:rPr>
          <w:rFonts w:ascii="Times New Roman" w:hAnsi="Times New Roman"/>
          <w:sz w:val="20"/>
        </w:rPr>
        <w:t xml:space="preserve">We currently maintain approximately $10.0 million in general liability insurance and $10.0 million in product liability insurance. We may, however, need to obtain higher levels of insurance coverage for later stages of clinical development or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 Our inability to obtain and retain sufficient product liability insurance at an acceptable cost to protect against potential product liability claims could prevent or inhibit the commercialization of our product candidates. Although we will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 xml:space="preserve">Our employees, independent contractors, consultants and vendors may engage in misconduct or other improper activities, including noncompliance with regulatory standards and requirements and insider trading. </w:t>
      </w:r>
    </w:p>
    <w:p>
      <w:pPr>
        <w:pStyle w:val="TextBody"/>
        <w:bidi w:val="0"/>
        <w:spacing w:before="120" w:after="0"/>
        <w:jc w:val="both"/>
        <w:rPr>
          <w:rFonts w:ascii="Times New Roman" w:hAnsi="Times New Roman"/>
          <w:sz w:val="20"/>
        </w:rPr>
      </w:pPr>
      <w:r>
        <w:rPr>
          <w:rFonts w:ascii="Times New Roman" w:hAnsi="Times New Roman"/>
          <w:sz w:val="20"/>
        </w:rPr>
        <w:t xml:space="preserve">We are exposed to the risk of employee fraud or other illegal activity by our employees, independent contractors, consultants and vendors. Misconduct by these parties could include intentional, reckless and/or negligent conduct that fails to comply with FDA regulations, provide true, complete and accurate information to the FDA or other comparable foreign regulatory authorities, comply with manufacturing standards we may establish, comply with healthcare fraud and abuse laws and regulations, report financial information or data accurately or disclose unauthorized activities to us. If we obtain FDA approval of any of our current or future product candidates and begin commercializing those products in the United States, our potential exposure under these laws will increase significantly, and our costs associated with compliance with these laws will likely increase.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Additionally, we are subject to the risk that a person could allege such fraud or other misconduct, even if none occurred.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civil, criminal and administrative penalties, damages, fines, disgorgement, imprisonment, the curtailment or restructuring of our operations, loss of eligibility to obtain approvals from the FDA or other comparable foreign regulatory authorities exclusion from participation in government contracting, healthcare reimbursement or other government programs, including Medicare and Medicaid, integrity oversight and reporting obligations, or reputational harm. </w:t>
      </w:r>
    </w:p>
    <w:p>
      <w:pPr>
        <w:pStyle w:val="TextBody"/>
        <w:bidi w:val="0"/>
        <w:spacing w:before="360" w:after="0"/>
        <w:jc w:val="both"/>
        <w:rPr>
          <w:rFonts w:ascii="Times New Roman" w:hAnsi="Times New Roman"/>
          <w:b/>
          <w:i/>
          <w:sz w:val="20"/>
        </w:rPr>
      </w:pPr>
      <w:r>
        <w:rPr>
          <w:rFonts w:ascii="Times New Roman" w:hAnsi="Times New Roman"/>
          <w:b/>
          <w:i/>
          <w:sz w:val="20"/>
        </w:rPr>
        <w:t xml:space="preserve">Changes in tax laws or regulations that are applied adversely to us may have a material adverse effect on our business, cash flows, financial condition or results of operations. </w:t>
      </w:r>
    </w:p>
    <w:p>
      <w:pPr>
        <w:pStyle w:val="TextBody"/>
        <w:bidi w:val="0"/>
        <w:spacing w:before="120" w:after="0"/>
        <w:jc w:val="both"/>
        <w:rPr>
          <w:rFonts w:ascii="Times New Roman" w:hAnsi="Times New Roman"/>
          <w:sz w:val="20"/>
        </w:rPr>
      </w:pPr>
      <w:r>
        <w:rPr>
          <w:rFonts w:ascii="Times New Roman" w:hAnsi="Times New Roman"/>
          <w:sz w:val="20"/>
        </w:rPr>
        <w:t xml:space="preserve">New income, sales, use or other tax laws, statutes, rules, regulations or ordinances could be enacted at any time, which could adversely affect our business operations and financial performance. For example, legislation enacted in 2017, informally titled the Tax Cuts and Jobs Act (TCJA), enacted many significant changes to the U.S. tax laws. For our 2022 through 2024 tax years, the TCJA eliminated the option to immediately deduct research and development expenditures and required taxpayers to amortize domestic expenditures over five years and foreign expenditures over fifteen years. Beginning with our 2024 tax year, and with permitted retrospective application to amend the 2023 tax return, the One Big Beautiful Bill Act, or OBBBA, restored immediate deductibility of domestic expenditures, while foreign expenditures will continue to be capitalized and amortized over fifteen years. Future changes in corporate tax rates, the realization of net deferred tax assets relating to our operations, the taxation of foreign earnings, and the deductibility of expenses could have a material impact on the value of our deferred tax assets, could result in significant one-time charges, and could increase our future tax expense. Further, existing tax laws, statutes, rules, regulations or ordinances could be interpreted, changed, modified or applied adversely to us. </w:t>
      </w:r>
    </w:p>
    <w:p>
      <w:pPr>
        <w:pStyle w:val="TextBody"/>
        <w:bidi w:val="0"/>
        <w:spacing w:before="240" w:after="0"/>
        <w:jc w:val="both"/>
        <w:rPr>
          <w:rFonts w:ascii="Times New Roman" w:hAnsi="Times New Roman"/>
          <w:sz w:val="20"/>
        </w:rPr>
      </w:pPr>
      <w:r>
        <w:rPr>
          <w:rFonts w:ascii="Times New Roman" w:hAnsi="Times New Roman"/>
          <w:sz w:val="20"/>
        </w:rPr>
        <w:t xml:space="preserve">Further, we are subject to U.S. federal, state, and local income taxes and other taxes in the United States and will be subject to income taxes, withholding taxes, transaction taxes, and other taxes in any foreign jurisdictions in which we currently do business or may do business in the future. Due to the expanding scale of our international business activities, we may become subject to taxation in additional foreign jurisdictions. Moreover, changes to our corporate structure, including increased headcount and expanded functions outside of the United States, as well as changes to the tax laws in the jurisdictions in which we do business, could impact our worldwide effective tax rate and adversely affect our operating results and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 xml:space="preserve">Our ability to use our net operating loss carryforwards and certain other tax attributes may be limited. </w:t>
      </w:r>
    </w:p>
    <w:p>
      <w:pPr>
        <w:pStyle w:val="TextBody"/>
        <w:bidi w:val="0"/>
        <w:spacing w:before="120" w:after="0"/>
        <w:jc w:val="both"/>
        <w:rPr>
          <w:rFonts w:ascii="Times New Roman" w:hAnsi="Times New Roman"/>
          <w:sz w:val="20"/>
        </w:rPr>
      </w:pPr>
      <w:r>
        <w:rPr>
          <w:rFonts w:ascii="Times New Roman" w:hAnsi="Times New Roman"/>
          <w:sz w:val="20"/>
        </w:rPr>
        <w:t xml:space="preserve">We have incurred substantial losses during our history and do not expect to become profitable in the near future, and we may never achieve profitability. Under current law, unused U.S. federal net operating losses generated in tax years beginning after December 31, 2017, will not expire and may be carried forward indefinitely, but the deductibility of such federal net operating losses for any year is limited to no more than 80% of the excess, if any, of current year taxable income (without regard to certain deductions). In addition, both our current and our future unused losses and other tax attributes may be subject to limitation under Sections 382 and 383 of the U.S. Internal Revenue Code of 1986, as amended (the Code), if we undergo, or have undergone, an “ownership change,” generally defined as a greater than 50 percentage point change (by value) in our equity ownership by certain stockholders or groups of stockholders over a three-year period. It is possible that we have undergone one or more “ownership changes” in the past. We may also undergo an ownership change as a result of the offering or other shifts in the ownership of our capital stock in the future, which may further limit our ability to use our pre-change net operating loss carryforwards and other pre-change tax attributes (such as research tax credits) to offset our post-change income or taxes.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quarterly and annual operating results may fluctuate significantly or may fall below the expectations of investors or securities analysts, each of which may cause our stock price to fluctuate or decline. </w:t>
      </w:r>
    </w:p>
    <w:p>
      <w:pPr>
        <w:pStyle w:val="TextBody"/>
        <w:bidi w:val="0"/>
        <w:spacing w:before="120" w:after="0"/>
        <w:jc w:val="both"/>
        <w:rPr>
          <w:rFonts w:ascii="Times New Roman" w:hAnsi="Times New Roman"/>
          <w:sz w:val="20"/>
        </w:rPr>
      </w:pPr>
      <w:r>
        <w:rPr>
          <w:rFonts w:ascii="Times New Roman" w:hAnsi="Times New Roman"/>
          <w:sz w:val="20"/>
        </w:rPr>
        <w:t xml:space="preserve">We expect our operating results to be subject to quarterly fluctuations. Our net loss and other operating results will be affected by numerous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timing and variations in the level of expense related to the ongoing development of ATTO-1310, ATTO-2306, ATTO-1091 or any future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timing and results of preclinical studies, existing and future clinical trials, or the addition or termination of future preclinical studies and clinical trials or funding support by us, or existing or future collaborators or licensing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enroll patients in clinical trials and the timing and status of enrollment for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need to conduct unanticipated clinical trials or trials that are larger or more complex than anticipated;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competition from products that compete with our product candidates, and changes in the competitive landscape of our industry, including consolidation among our competitors or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execution of any additional collaboration or licensing agreements with third parties or other strategic transactions, and the timing of payments we may make or receive under existing or future arrangements or the termination or modification of any such existing or future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intellectual property infringement lawsuit or opposition, interference or cancellation proceeding in which we may become involved;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additions and departures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strategic decisions by us or our competitors, such as acquisitions, divestitures, spin-offs, joint ventures, strategic investments or changes in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future accounting pronouncements or changes in our accounting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regulatory developments affecting ATTO-1310, ATTO-2306, ATTO-1091 or any future product candidates or those of our competitors;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timing and cost to establish a sales, marketing and distribution infrastructure to commercialize any products for which we may obtain marketing approval and intend to commercialize on our own or jointly with current or future collaborators;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adequately support future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potential unforeseen business disruptions that increase our costs or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effects of macro events, such as inflation, geopolitical conflicts, pandemics, natural disasters and supply chain issues, on our business and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changes in general global market, political and economic conditions.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our quarterly or annual operating results fall below the expectations of investors or securities analysts, the price of our common stock could decline substantially. Such a stock price decline could occur even when we have met any previously publicly stated revenue or earnings guidance we may provide. Furthermore, any quarterly or annual fluctuations in our operating results may, in turn, cause the price of our common stock to fluctuate substantially. We believe that quarterly or annual comparisons of our financial results are not necessarily meaningful and should not be relied on as an indication of our future performance.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estimates of market opportunity and forecasts of market growth may prove to be inaccurate, and even if the markets in which we compete achieve the forecasted growth, our business may not grow at similar rates, or at all. </w:t>
      </w:r>
    </w:p>
    <w:p>
      <w:pPr>
        <w:pStyle w:val="TextBody"/>
        <w:bidi w:val="0"/>
        <w:spacing w:before="120" w:after="0"/>
        <w:jc w:val="both"/>
        <w:rPr>
          <w:rFonts w:ascii="Times New Roman" w:hAnsi="Times New Roman"/>
          <w:sz w:val="20"/>
        </w:rPr>
      </w:pPr>
      <w:r>
        <w:rPr>
          <w:rFonts w:ascii="Times New Roman" w:hAnsi="Times New Roman"/>
          <w:sz w:val="20"/>
        </w:rPr>
        <w:t xml:space="preserve">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 </w:t>
      </w:r>
    </w:p>
    <w:p>
      <w:pPr>
        <w:pStyle w:val="TextBody"/>
        <w:bidi w:val="0"/>
        <w:spacing w:before="240" w:after="0"/>
        <w:jc w:val="both"/>
        <w:rPr>
          <w:rFonts w:ascii="Times New Roman" w:hAnsi="Times New Roman"/>
          <w:sz w:val="20"/>
        </w:rPr>
      </w:pPr>
      <w:r>
        <w:rPr>
          <w:rFonts w:ascii="Times New Roman" w:hAnsi="Times New Roman"/>
          <w:sz w:val="20"/>
        </w:rPr>
        <w:t xml:space="preserve">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Intellectual Property </w:t>
      </w:r>
    </w:p>
    <w:p>
      <w:pPr>
        <w:pStyle w:val="TextBody"/>
        <w:bidi w:val="0"/>
        <w:spacing w:before="120" w:after="0"/>
        <w:jc w:val="both"/>
        <w:rPr>
          <w:rFonts w:ascii="Times New Roman" w:hAnsi="Times New Roman"/>
          <w:b/>
          <w:i/>
          <w:sz w:val="20"/>
        </w:rPr>
      </w:pPr>
      <w:r>
        <w:rPr>
          <w:rFonts w:ascii="Times New Roman" w:hAnsi="Times New Roman"/>
          <w:b/>
          <w:i/>
          <w:sz w:val="20"/>
        </w:rPr>
        <w:t xml:space="preserve">If we are unable to obtain and maintain patent protection or other necessary rights for any of our current or future product candidates and technology, or if the scope of the patent protection obtained is not sufficiently broad or our rights under our patents are not sufficiently broad, our competitors could develop and commercialize products and technology similar or identical to ours, and our ability to successfully commercialize our products and technology may be adversely affected. </w:t>
      </w:r>
    </w:p>
    <w:p>
      <w:pPr>
        <w:pStyle w:val="TextBody"/>
        <w:bidi w:val="0"/>
        <w:spacing w:before="240" w:after="0"/>
        <w:jc w:val="both"/>
        <w:rPr>
          <w:rFonts w:ascii="Times New Roman" w:hAnsi="Times New Roman"/>
          <w:sz w:val="20"/>
        </w:rPr>
      </w:pPr>
      <w:r>
        <w:rPr>
          <w:rFonts w:ascii="Times New Roman" w:hAnsi="Times New Roman"/>
          <w:sz w:val="20"/>
        </w:rPr>
        <w:t xml:space="preserve">Our success is dependent in part on our ability to obtain and maintain proprietary or intellectual property protection in the United States and other countries for our current product candidates or any future product candidates, as well as our core technologies, including our manufacturing know-how. We strive to protect and enhance the proprietary technology, inventions and improvements that are commercially important to the development of our business by seeking, maintaining and defending our intellectual property, whether developed internally or licensed from third parties. We also rely on trade secrets, know-how, continuing technological innovation and in-licensing opportunities to develop, strengthen and maintain our proprietary position in the field of immune-mediated diseases drug development.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 patent position of biotechnology and biopharmaceutical companies generally is highly uncertain, involves complex legal and factual questions, and has in recent years been the subject of much litigation.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own or licensed patent applications will mature into issued patents, and cannot provide any assurances that any such patents, if issued, will include claims with a scope sufficient to protect our current and future product candidates or otherwise provide any competitive advantage. Additionally, patents can be enforced only in those jurisdictions in which the patent has issued. Furthermore, patents have a limited lifespan. In the United States, the natural expiration of a patent is generally 20 years after its first nonprovisional U.S. filing. The natural expiration of a patent outside of the United States varies in accordance with provisions of applicable local law, but is generally 20 years from the earliest local filing date.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w:t>
      </w:r>
    </w:p>
    <w:p>
      <w:pPr>
        <w:pStyle w:val="TextBody"/>
        <w:bidi w:val="0"/>
        <w:spacing w:before="240" w:after="0"/>
        <w:jc w:val="both"/>
        <w:rPr>
          <w:rFonts w:ascii="Times New Roman" w:hAnsi="Times New Roman"/>
          <w:sz w:val="20"/>
        </w:rPr>
      </w:pPr>
      <w:r>
        <w:rPr>
          <w:rFonts w:ascii="Times New Roman" w:hAnsi="Times New Roman"/>
          <w:sz w:val="20"/>
        </w:rPr>
        <w:t xml:space="preserve">Moreover, our platform license may be subject to field restrictions and retained rights, which may adversely impact our competitive position. See “Business—Alamar Platform License Agreement.” Our licensed patent portfolio may not provide us with adequate and continuing patent protection sufficient to exclude others from commercializing products similar to our product candidates, including biosimilar and interchangeable versions of such products. In addition, the patent portfolio licensed to us is, or may be, licensed to third parties outside our licensed field, and such third parties may have certain enforcement rights. Thus, patents licensed to us could be put at risk of being invalidated or interpreted narrowly in litigation filed by or against another licensee or in administrative proceedings brought by or against another licensee in response to such litigation or for other reasons. </w:t>
      </w:r>
    </w:p>
    <w:p>
      <w:pPr>
        <w:pStyle w:val="TextBody"/>
        <w:bidi w:val="0"/>
        <w:spacing w:before="240" w:after="0"/>
        <w:jc w:val="both"/>
        <w:rPr>
          <w:rFonts w:ascii="Times New Roman" w:hAnsi="Times New Roman"/>
          <w:sz w:val="20"/>
        </w:rPr>
      </w:pPr>
      <w:r>
        <w:rPr>
          <w:rFonts w:ascii="Times New Roman" w:hAnsi="Times New Roman"/>
          <w:sz w:val="20"/>
        </w:rPr>
        <w:t xml:space="preserve">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Publication of discoveries in the scientific literature lags behind the actual discoveries, and patent applications in the United States and in other jurisdictions are typically not published until 18 months after filing, or in some cases not at all. Therefore, we cannot know with certainty whether the inventors of our patents and applications were the first to make the inventions claimed in those patents or pending patent applications, or that they were the first to file for patent protection of such inventions. Further, we cannot assure that all of the potentially relevant prior art relating to our patents and patent applications has been found. If such prior art exists, it can invalidate a patent or prevent a patent from issuing from a pending patent application. As a result, the issuance, scope, validity and commercial value of our patent rights cannot be predicted with any certainty. Further, if the breadth or strength of protection provided by our patents and patent applications is threatened, regardless of the outcome, it could dissuade companies from collaborating with us to license, develop or commercialize current or future product candidates. </w:t>
      </w:r>
    </w:p>
    <w:p>
      <w:pPr>
        <w:pStyle w:val="TextBody"/>
        <w:bidi w:val="0"/>
        <w:spacing w:before="240" w:after="0"/>
        <w:jc w:val="both"/>
        <w:rPr>
          <w:rFonts w:ascii="Times New Roman" w:hAnsi="Times New Roman"/>
          <w:sz w:val="20"/>
        </w:rPr>
      </w:pPr>
      <w:r>
        <w:rPr>
          <w:rFonts w:ascii="Times New Roman" w:hAnsi="Times New Roman"/>
          <w:sz w:val="20"/>
        </w:rPr>
        <w:t xml:space="preserve">In addition, the patent prosecution process is expensive and time-consuming, and we or our licensors may not be able to file and prosecute all necessary or desirable patent applications at a reasonable cost or in a timely manner. In addition, the scope of the claims initially submitted for examination may be significantly narrowed by the time they issue, if at all. It is also possible that we or our licensors will fail to identify patentable aspects of our research and development output before it is too late to obtain patent protection. We cannot provide any assurances that we will be able to pursue or obtain additional patent protection based on our research and development efforts, or that any such patents or other intellectual property we generate will provide any competitive advantage. Moreover, we do not have the right to control the preparation, filing and prosecution of patent applications, or to control the maintenance of the patents, covering technology that we license from third parties. Therefore, these patents and applications may not be filed, prosecuted or maintained in a manner consistent with the best interests of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Even if we acquire patent protection that we expect should enable us to maintain competitive advantage, the issuance of a patent is not conclusive as to its inventorship, scope, validity or enforceability. Third parties, including former employees, consultants, collaborators and competitors, may challenge the inventorship, scope, validity, or enforceability thereof, which may result in such patents being narrowed, invalidated or held unenforceable. If issued, our patents may be challenged in patent offices in the United States and abroad, or in court. For example, we may be subject to Post Grant Review or Inter Partes Review proceedings to the U.S. Patent Trial and Appeal Board (PTAB) challenging the validity of one or more claims of our patents, once issued. Such submissions may also be made prior to a patent’s issuance, precluding the granting of a patent based on one of our patent applications. We may become involved in opposition, reexamination, inter partes review, post-grant review, derivation, or similar proceedings in the United States or abroad challenging the claims of our patents, once issued. Furthermore, patents may be challenged in court, once issued. Competitors may have filed patent applications before the inventors of our patents did. A competitor may also claim that we are infringing its patents and that we therefore cannot practice our technology as claimed under our patent applications and patents, if issued. As a result, one or more claims of our patents may be narrowed or invalidated. In litigation, a competitor could claim that our patents, if issued, are not valid for a number of reasons. If a court agrees, we would lose our rights to those challenged patents. </w:t>
      </w:r>
    </w:p>
    <w:p>
      <w:pPr>
        <w:pStyle w:val="TextBody"/>
        <w:bidi w:val="0"/>
        <w:spacing w:before="240" w:after="0"/>
        <w:jc w:val="both"/>
        <w:rPr>
          <w:rFonts w:ascii="Times New Roman" w:hAnsi="Times New Roman"/>
          <w:sz w:val="20"/>
        </w:rPr>
      </w:pPr>
      <w:r>
        <w:rPr>
          <w:rFonts w:ascii="Times New Roman" w:hAnsi="Times New Roman"/>
          <w:sz w:val="20"/>
        </w:rPr>
        <w:t xml:space="preserve">Even if they are unchallenged, our patents and pending patent applications, if issued, may not provide us with any meaningful protection or prevent competitors from designing around our patent claims to circumvent our patents by developing similar or alternative technologies or therapeutics in a non-infringing manner. For example, even if we have a valid and enforceable patent, we may not be able to exclude others from practicing our invention if the other party can show that they used the invention in commerce before our filing date or the other party benefits from an ex-U.S. compulsory license. If the patent protection provided by the patents and patent applications we hold or pursue with respect to our product candidates is not sufficiently broad to impede such competition, our ability to successfully commercialize our product candidates could be negatively affected, which would harm our business. </w:t>
      </w:r>
    </w:p>
    <w:p>
      <w:pPr>
        <w:pStyle w:val="TextBody"/>
        <w:bidi w:val="0"/>
        <w:spacing w:before="240" w:after="0"/>
        <w:jc w:val="both"/>
        <w:rPr>
          <w:rFonts w:ascii="Times New Roman" w:hAnsi="Times New Roman"/>
          <w:sz w:val="20"/>
        </w:rPr>
      </w:pPr>
      <w:r>
        <w:rPr>
          <w:rFonts w:ascii="Times New Roman" w:hAnsi="Times New Roman"/>
          <w:sz w:val="20"/>
        </w:rPr>
        <w:t xml:space="preserve">Certain regulatory exclusivities may be available. However, the scope of such regulatory exclusivities is subject to change, and may not provide us with adequate and continuing protection sufficient to exclude others from commercializing products similar to our product candidates. </w:t>
      </w:r>
    </w:p>
    <w:p>
      <w:pPr>
        <w:pStyle w:val="TextBody"/>
        <w:bidi w:val="0"/>
        <w:spacing w:before="360" w:after="0"/>
        <w:jc w:val="both"/>
        <w:rPr>
          <w:rFonts w:ascii="Times New Roman" w:hAnsi="Times New Roman"/>
          <w:b/>
          <w:i/>
          <w:sz w:val="20"/>
        </w:rPr>
      </w:pPr>
      <w:r>
        <w:rPr>
          <w:rFonts w:ascii="Times New Roman" w:hAnsi="Times New Roman"/>
          <w:b/>
          <w:i/>
          <w:sz w:val="20"/>
        </w:rPr>
        <w:t xml:space="preserve">If we are unable to protect the confidentiality of our trade secrets, our business and competitive position could be harmed. </w:t>
      </w:r>
    </w:p>
    <w:p>
      <w:pPr>
        <w:pStyle w:val="TextBody"/>
        <w:bidi w:val="0"/>
        <w:spacing w:before="120" w:after="0"/>
        <w:jc w:val="both"/>
        <w:rPr>
          <w:rFonts w:ascii="Times New Roman" w:hAnsi="Times New Roman"/>
          <w:sz w:val="20"/>
        </w:rPr>
      </w:pPr>
      <w:r>
        <w:rPr>
          <w:rFonts w:ascii="Times New Roman" w:hAnsi="Times New Roman"/>
          <w:sz w:val="20"/>
        </w:rPr>
        <w:t xml:space="preserve">In addition to patent protection, we rely on the protection of our trade secrets,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any party thereto will not breach the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w:t>
      </w:r>
    </w:p>
    <w:p>
      <w:pPr>
        <w:pStyle w:val="TextBody"/>
        <w:bidi w:val="0"/>
        <w:spacing w:before="240" w:after="0"/>
        <w:jc w:val="both"/>
        <w:rPr>
          <w:rFonts w:ascii="Times New Roman" w:hAnsi="Times New Roman"/>
          <w:sz w:val="20"/>
        </w:rPr>
      </w:pPr>
      <w:r>
        <w:rPr>
          <w:rFonts w:ascii="Times New Roman" w:hAnsi="Times New Roman"/>
          <w:sz w:val="20"/>
        </w:rPr>
        <w:t xml:space="preserve">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could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 xml:space="preserve">If we breach our license agreement with Alamar or any other third-parties, or if there are disputes over the intellectual property that we license, it could have a material adverse effect on our commercialization efforts for ATTO-1310, ATTO-2306, and ATTO-1091 and any current or future product candidates. </w:t>
      </w:r>
    </w:p>
    <w:p>
      <w:pPr>
        <w:pStyle w:val="TextBody"/>
        <w:bidi w:val="0"/>
        <w:spacing w:before="120" w:after="0"/>
        <w:jc w:val="both"/>
        <w:rPr>
          <w:rFonts w:ascii="Times New Roman" w:hAnsi="Times New Roman"/>
          <w:sz w:val="20"/>
        </w:rPr>
      </w:pPr>
      <w:r>
        <w:rPr>
          <w:rFonts w:ascii="Times New Roman" w:hAnsi="Times New Roman"/>
          <w:sz w:val="20"/>
        </w:rPr>
        <w:t xml:space="preserve">We are party to a platform license agreement with Alamar (Alamar Platform License Agreement) that enables us to utilize third-party intellectual property in the development of ATTO-1310, ATTO-2306 and ATTO-1091, and we may in the future enter into more such license agreements with third parties under which we license the use, development and commercialization rights to current or future product candidates or technology from third parties. </w:t>
      </w:r>
    </w:p>
    <w:p>
      <w:pPr>
        <w:pStyle w:val="TextBody"/>
        <w:bidi w:val="0"/>
        <w:spacing w:before="240" w:after="0"/>
        <w:jc w:val="both"/>
        <w:rPr>
          <w:rFonts w:ascii="Times New Roman" w:hAnsi="Times New Roman"/>
          <w:sz w:val="20"/>
        </w:rPr>
      </w:pPr>
      <w:r>
        <w:rPr>
          <w:rFonts w:ascii="Times New Roman" w:hAnsi="Times New Roman"/>
          <w:sz w:val="20"/>
        </w:rPr>
        <w:t xml:space="preserve">These intellectual property license agreements may require us to comply with various obligations, including diligence obligations such as development and commercialization obligations, as well as potential royalty and milestone payments and other obligations. If we fail to comply with our obligations under any of these license agreements, use the licensed intellectual property in an unauthorized manner, we are subject to bankruptcy-related proceedings or otherwise materially breach any of these license agreements, the terms of the license granted may be materially modified, such as by rendering currently exclusive licenses non-exclusive, or it may give our licensors the right to terminate the applicable license agreement, in whole or in part. Generally, the loss of or termination of our rights under the Alamar Platform License Agreement, or any other licenses we may acquire in the future, could harm our business, financial condition, results of operations and prospects. </w:t>
      </w:r>
    </w:p>
    <w:p>
      <w:pPr>
        <w:pStyle w:val="TextBody"/>
        <w:bidi w:val="0"/>
        <w:spacing w:before="240" w:after="0"/>
        <w:jc w:val="both"/>
        <w:rPr>
          <w:rFonts w:ascii="Times New Roman" w:hAnsi="Times New Roman"/>
          <w:sz w:val="20"/>
        </w:rPr>
      </w:pPr>
      <w:r>
        <w:rPr>
          <w:rFonts w:ascii="Times New Roman" w:hAnsi="Times New Roman"/>
          <w:sz w:val="20"/>
        </w:rPr>
        <w:t xml:space="preserve">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result in termination of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product candidates incorporating the relevant intellectual property. </w:t>
      </w:r>
    </w:p>
    <w:p>
      <w:pPr>
        <w:pStyle w:val="TextBody"/>
        <w:bidi w:val="0"/>
        <w:spacing w:before="240" w:after="0"/>
        <w:jc w:val="both"/>
        <w:rPr>
          <w:rFonts w:ascii="Times New Roman" w:hAnsi="Times New Roman"/>
          <w:sz w:val="20"/>
        </w:rPr>
      </w:pPr>
      <w:r>
        <w:rPr>
          <w:rFonts w:ascii="Times New Roman" w:hAnsi="Times New Roman"/>
          <w:sz w:val="20"/>
        </w:rPr>
        <w:t xml:space="preserve">Licensing of intellectual property is of critical importance to our business and involves complex legal, business and scientific issues. Disputes may arise between us and our licensors regarding intellectual property subject to a license agreement,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scope of rights granted under the license agreement and other interpretation-related issues;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whether and the extent to which our technology and processes infringe on intellectual property of the licensor that is not subject to the licensing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right to sublicense patent and other intellectual property rights to third parties under collaborative development relationships;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diligence obligations with respect to the use of the licensed technology in relation to our development and commercialization product candidates, and what activities satisfy those diligence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right to transfer or assign the license;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ownership of inventions and know-how resulting from the joint creation or use of intellectual property by our licensors and us and our partners;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whether and the extent to which inventors are able to contest the assignment of their rights to our licensors.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disputes over intellectual property that we have licensed or license in the future prevent or impair our ability to maintain our current licensing arrangements on acceptable terms or at all, we may be unable to successfully develop and commercialize the affected product candidates, which could have a material adverse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effect on our business. In addition, if disputes arise as to ownership of licensed intellectual property, our ability to pursue or enforce the licensed patent rights may be jeopardized. If we or our licensors fail to adequately protect this intellectual property, our ability to commercialize our products could suffer. Further, certain of our future license agreements with third parties may limit or delay our ability to consummate certain transactions, may impact the value of those transactions or may limit our ability to pursue certain activities (e.g., we may in the future enter into license agreements that are not assignable or transferable, or that require the licensor’s express consent in order for an assignment or transfer to take place). </w:t>
      </w:r>
    </w:p>
    <w:p>
      <w:pPr>
        <w:pStyle w:val="TextBody"/>
        <w:bidi w:val="0"/>
        <w:spacing w:before="240" w:after="0"/>
        <w:jc w:val="both"/>
        <w:rPr>
          <w:rFonts w:ascii="Times New Roman" w:hAnsi="Times New Roman"/>
          <w:sz w:val="20"/>
        </w:rPr>
      </w:pPr>
      <w:r>
        <w:rPr>
          <w:rFonts w:ascii="Times New Roman" w:hAnsi="Times New Roman"/>
          <w:sz w:val="20"/>
        </w:rPr>
        <w:t xml:space="preserve">As the field of immune-mediated diseases continues to mature, patent applications are being processed by national patent offices around the world. There is uncertainty about which patents will issue and, if they do, as to when, to whom, and with what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 If we are found to infringe a third-party’s intellectual property rights, we could be forced, including by court order, to cease developing, manufacturing or commercializing the infringing product candidate or product.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not be able to protect our intellectual property rights throughout the world. </w:t>
      </w:r>
    </w:p>
    <w:p>
      <w:pPr>
        <w:pStyle w:val="TextBody"/>
        <w:bidi w:val="0"/>
        <w:spacing w:before="120" w:after="0"/>
        <w:jc w:val="both"/>
        <w:rPr>
          <w:rFonts w:ascii="Times New Roman" w:hAnsi="Times New Roman"/>
          <w:sz w:val="20"/>
        </w:rPr>
      </w:pPr>
      <w:r>
        <w:rPr>
          <w:rFonts w:ascii="Times New Roman" w:hAnsi="Times New Roman"/>
          <w:sz w:val="20"/>
        </w:rPr>
        <w:t xml:space="preserve">Although we have pending patent applications in the United States and other countries, filing, prosecuting, maintaining, enforcing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licensors, or other intellectual property rights may not be effective or sufficient to prevent them from competing. </w:t>
      </w:r>
    </w:p>
    <w:p>
      <w:pPr>
        <w:pStyle w:val="TextBody"/>
        <w:bidi w:val="0"/>
        <w:spacing w:before="240" w:after="0"/>
        <w:jc w:val="both"/>
        <w:rPr>
          <w:rFonts w:ascii="Times New Roman" w:hAnsi="Times New Roman"/>
          <w:sz w:val="20"/>
        </w:rPr>
      </w:pPr>
      <w:r>
        <w:rPr>
          <w:rFonts w:ascii="Times New Roman" w:hAnsi="Times New Roman"/>
          <w:sz w:val="20"/>
        </w:rPr>
        <w:t xml:space="preserve">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before="240" w:after="0"/>
        <w:jc w:val="both"/>
        <w:rPr>
          <w:rFonts w:ascii="Times New Roman" w:hAnsi="Times New Roman"/>
          <w:sz w:val="20"/>
        </w:rPr>
      </w:pPr>
      <w:r>
        <w:rPr>
          <w:rFonts w:ascii="Times New Roman" w:hAnsi="Times New Roman"/>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 xml:space="preserve">We, our licensors, or any future collaborators and strategic partners may need to resort to litigation to protect or enforce our patents, if and when granted, or other proprietary rights, all of which could be costly, time consuming, delay or prevent the development and commercialization of ATTO-1310, ATTO-2306, ATTO-1091 and any future product candidates, or put our patents, if and when granted, and other proprietary rights at risk. </w:t>
      </w:r>
    </w:p>
    <w:p>
      <w:pPr>
        <w:pStyle w:val="TextBody"/>
        <w:bidi w:val="0"/>
        <w:spacing w:before="120" w:after="0"/>
        <w:jc w:val="both"/>
        <w:rPr>
          <w:rFonts w:ascii="Times New Roman" w:hAnsi="Times New Roman"/>
          <w:sz w:val="20"/>
        </w:rPr>
      </w:pPr>
      <w:r>
        <w:rPr>
          <w:rFonts w:ascii="Times New Roman" w:hAnsi="Times New Roman"/>
          <w:sz w:val="20"/>
        </w:rPr>
        <w:t xml:space="preserve">Competitors may infringe our patents, if and when granted, or other intellectual property. If we were to initiate legal proceedings against a third party to enforce a patent covering one of our products or our technology,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for example, lack of novelty, lack of adequate written description, obviousness or non-enablement. Grounds for an unenforceability assertion could be an allegation that an individual connected with prosecution of the patent withheld relevant information from the USPTO, or made a misleading statement, during prosecution. The outcome following legal assertions of invalidity or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Derivation proceedings provoked by third parties or brought by us may be necessary to determine the inventorship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ATTO-1310, ATTO-2306, ATTO-1091 or any future product candidates to market.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 Patents and other intellectual property rights will not protect our technology if competitors design around our protected technology without legally infringing our patents or other intellectual property rights. </w:t>
      </w:r>
    </w:p>
    <w:p>
      <w:pPr>
        <w:pStyle w:val="TextBody"/>
        <w:bidi w:val="0"/>
        <w:spacing w:before="360" w:after="0"/>
        <w:jc w:val="both"/>
        <w:rPr>
          <w:rFonts w:ascii="Times New Roman" w:hAnsi="Times New Roman"/>
          <w:b/>
          <w:i/>
          <w:sz w:val="20"/>
        </w:rPr>
      </w:pPr>
      <w:r>
        <w:rPr>
          <w:rFonts w:ascii="Times New Roman" w:hAnsi="Times New Roman"/>
          <w:b/>
          <w:i/>
          <w:sz w:val="20"/>
        </w:rPr>
        <w:t xml:space="preserve">Intellectual property rights of third parties could adversely affect our ability to commercialize ATTO-1310, ATTO-2306, ATTO-1091 and any future product candidates, and we, our licensors or collaborators, or any future strategic partners may become subject to third-party claims or litigation alleging infringement of patents or other proprietary rights or seeking to invalidate patents or other proprietary rights. We might be required to litigate or obtain licenses from third parties in order to develop or market ATTO-1310, ATTO-2306, ATTO-1091 and any future product candidates. Such litigation or licenses could be costly or not available on commercially reasonable terms. </w:t>
      </w:r>
    </w:p>
    <w:p>
      <w:pPr>
        <w:pStyle w:val="TextBody"/>
        <w:bidi w:val="0"/>
        <w:spacing w:before="120" w:after="0"/>
        <w:jc w:val="both"/>
        <w:rPr>
          <w:rFonts w:ascii="Times New Roman" w:hAnsi="Times New Roman"/>
          <w:sz w:val="20"/>
        </w:rPr>
      </w:pPr>
      <w:r>
        <w:rPr>
          <w:rFonts w:ascii="Times New Roman" w:hAnsi="Times New Roman"/>
          <w:sz w:val="20"/>
        </w:rPr>
        <w:t xml:space="preserve">We, our licensors or collaborators, or any future strategic partners, may be subject to third-party claims for infringement or misappropriation of patent or other proprietary rights. There are a substantial number of forums available for challenging intellectual property rights, both within and outside the United States, involving patent and other intellectual property rights in the biotechnology and biopharmaceutical industries, including patent infringement lawsuits, interferences, derivations, post-grant reviews, oppositions and inter partes review proceedings before the USPTO, and corresponding foreign patent offices. There may be issued patents and pending patent applications that claim aspects of our targets or ATTO-1310, ATTO-2306, ATTO-1091 or any future product candidates and modifications that we may need to apply to ATTO-1310, ATTO-2306, ATTO-1091 or any future product candidates. There may be issued patents that claim methods which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relevant to the products we wish to develop. Thus, it is possible that one or more entities will hold patent rights to which we will need a license. If those entities refuse to grant us a license to such patent rights on reasonable terms, we may not be able to market products or perform research and development or other activities covered by these patents, which could have a material and adverse effect on our business, financial condition, results of operations and prospects. If we, our licensors or collaborators, or any future strategic partners are found to infringe a third-party patent or other intellectual property rights, we could be required to pay damages, potentially including treble damages and attorneys’ fees if we or they are found to have infringed willfully. In addition, we, our licensors or collaborators,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existing or future collaborators, or any future strategic partners,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could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 </w:t>
      </w:r>
    </w:p>
    <w:p>
      <w:pPr>
        <w:pStyle w:val="TextBody"/>
        <w:bidi w:val="0"/>
        <w:spacing w:before="240" w:after="0"/>
        <w:jc w:val="both"/>
        <w:rPr>
          <w:rFonts w:ascii="Times New Roman" w:hAnsi="Times New Roman"/>
          <w:sz w:val="20"/>
        </w:rPr>
      </w:pPr>
      <w:r>
        <w:rPr>
          <w:rFonts w:ascii="Times New Roman" w:hAnsi="Times New Roman"/>
          <w:sz w:val="20"/>
        </w:rPr>
        <w:t xml:space="preserve">Our competitive position may suffer if patents issued to third parties or other third-party intellectual property rights cover our products or product candidates or elements thereof, or our manufacture or uses relevant to our development plans. In such cases, we may not be in a position to develop or commercialize products or product candidates until such patents expire or unless we successfully pursue litigation to nullify or invalidate the third-party intellectual property right concerned, or enter into a license agreement with the intellectual property right holder, if available on commercially reasonable terms. There may be issued patents of which we are not aware, held by third parties that, if found to be valid and enforceable, could be alleged to be infringed by ATTO-1310, ATTO-2306, ATTO-1091 or any future product candidates. There also may be pending patent applications of which we are not aware that may result in issued patents, which could be alleged to be infringed by ATTO-1310, ATTO-2306, ATTO-1091 or any future product candidates. There may be issued patents, held by third parties, which we do not believe we infringe, that, if found to be valid and enforceable, could be found to be infringed by ATTO-1310, ATTO-2306, ATTO-1091 or any future product candidates. If such an infringement claim should be brought and be successful, we may be required to pay substantial damages, including potentially treble damages and attorneys’ fees for willful infringement, and we may be forced to abandon ATTO-1310, ATTO-2306, ATTO-1091 or any future product candidates or seek a license from any patent holders. No assurances can be given that a license will be available on commercially reasonable terms, if at all. </w:t>
      </w:r>
    </w:p>
    <w:p>
      <w:pPr>
        <w:pStyle w:val="TextBody"/>
        <w:bidi w:val="0"/>
        <w:spacing w:before="240" w:after="0"/>
        <w:jc w:val="both"/>
        <w:rPr>
          <w:rFonts w:ascii="Times New Roman" w:hAnsi="Times New Roman"/>
          <w:sz w:val="20"/>
        </w:rPr>
      </w:pPr>
      <w:r>
        <w:rPr>
          <w:rFonts w:ascii="Times New Roman" w:hAnsi="Times New Roman"/>
          <w:sz w:val="20"/>
        </w:rPr>
        <w:t xml:space="preserve">It is also possible that we have failed to identify relevant third-party patents or applications. Patent applications covering our products could have been filed by others without our knowledge. Additionally, pending patent applications that have been published can, subject to certain limitations, be later amended in a manner that could cover our products or the use of our products. Third-party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 initiation and continuation of any litigation could have a material adverse effect on our ability to raise additional funds or otherwise have a material adverse effect on our business, financial condition, results of operations and prospects. If we fail in any such dispute, in addition to being forced to pay damages, we may be temporarily or permanently prohibited from commercializing any of ATTO-1310, ATTO-2306, ATTO-1091 or any future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have a material and adverse effect on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Intellectual property litigation could cause us to spend substantial resources and distract our personnel from their normal responsibilities. </w:t>
      </w:r>
    </w:p>
    <w:p>
      <w:pPr>
        <w:pStyle w:val="TextBody"/>
        <w:bidi w:val="0"/>
        <w:spacing w:before="120" w:after="0"/>
        <w:jc w:val="both"/>
        <w:rPr>
          <w:rFonts w:ascii="Times New Roman" w:hAnsi="Times New Roman"/>
          <w:sz w:val="20"/>
        </w:rPr>
      </w:pPr>
      <w:r>
        <w:rPr>
          <w:rFonts w:ascii="Times New Roman" w:hAnsi="Times New Roman"/>
          <w:sz w:val="20"/>
        </w:rPr>
        <w:t xml:space="preserve">Litigation and other legal proceedings relating to intellectual property claims, with or without merit, are unpredictable and generally expensive and time consuming and are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Moreover, such litigation or proceedings could substantially increase our operating losses and reduce the resources available for development activities or any future sales, marketing or distribution activities. </w:t>
      </w:r>
    </w:p>
    <w:p>
      <w:pPr>
        <w:pStyle w:val="TextBody"/>
        <w:bidi w:val="0"/>
        <w:spacing w:before="240" w:after="0"/>
        <w:jc w:val="both"/>
        <w:rPr>
          <w:rFonts w:ascii="Times New Roman" w:hAnsi="Times New Roman"/>
          <w:sz w:val="20"/>
        </w:rPr>
      </w:pPr>
      <w:r>
        <w:rPr>
          <w:rFonts w:ascii="Times New Roman" w:hAnsi="Times New Roman"/>
          <w:sz w:val="20"/>
        </w:rPr>
        <w:t xml:space="preserve">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 </w:t>
      </w:r>
    </w:p>
    <w:p>
      <w:pPr>
        <w:pStyle w:val="TextBody"/>
        <w:bidi w:val="0"/>
        <w:spacing w:before="120" w:after="0"/>
        <w:jc w:val="both"/>
        <w:rPr>
          <w:rFonts w:ascii="Times New Roman" w:hAnsi="Times New Roman"/>
          <w:sz w:val="20"/>
        </w:rPr>
      </w:pPr>
      <w:r>
        <w:rPr>
          <w:rFonts w:ascii="Times New Roman" w:hAnsi="Times New Roman"/>
          <w:sz w:val="20"/>
        </w:rPr>
        <w:t xml:space="preserve">Many of our employees, including our management, were previously employed at biotechnology or biopharmaceutical companies, including our competitors or potential competitors. Some of these employees executed proprietary rights, non-disclosure and non-competition agreements in connection with such previous employment.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develop and ultimately commercialize, or prevent us from developing and commercializing, ATTO-1310, ATTO-2306, ATTO-1091 or any future product candidates, which could severely harm our business, financial condition, results of operations and prospects. Even if we are successful in defending against these claims, litigation could result in substantial costs and be a distraction to management.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 xml:space="preserve">Patent terms may be insufficient to protect our competitive position on ATTO-1310, ATTO-2306, ATTO-1091 and any future product candidates for an adequate amount of time. </w:t>
      </w:r>
    </w:p>
    <w:p>
      <w:pPr>
        <w:pStyle w:val="TextBody"/>
        <w:bidi w:val="0"/>
        <w:spacing w:before="120" w:after="0"/>
        <w:jc w:val="both"/>
        <w:rPr>
          <w:rFonts w:ascii="Times New Roman" w:hAnsi="Times New Roman"/>
          <w:sz w:val="20"/>
        </w:rPr>
      </w:pPr>
      <w:r>
        <w:rPr>
          <w:rFonts w:ascii="Times New Roman" w:hAnsi="Times New Roman"/>
          <w:sz w:val="20"/>
        </w:rPr>
        <w:t xml:space="preserve">Patents have a limited lifespan. In the United States, if all maintenance fees are timely paid, the natural expiration of a patent is generally 20 years from its earliest U.S. non-provisional filing date. Various patent term adjustments or extensions may be available, but the life of a patent, and the protection it affords, is limited. Even if patents covering ATTO-1310, ATTO-2306, ATTO-1091 or any future product candidates are obtained, once the patent life has expired, we may be open to competition from competitive products, including biosimilars or interchangeables.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t>
      </w:r>
    </w:p>
    <w:p>
      <w:pPr>
        <w:pStyle w:val="TextBody"/>
        <w:bidi w:val="0"/>
        <w:spacing w:before="360" w:after="0"/>
        <w:jc w:val="both"/>
        <w:rPr>
          <w:rFonts w:ascii="Times New Roman" w:hAnsi="Times New Roman"/>
          <w:b/>
          <w:i/>
          <w:sz w:val="20"/>
        </w:rPr>
      </w:pPr>
      <w:r>
        <w:rPr>
          <w:rFonts w:ascii="Times New Roman" w:hAnsi="Times New Roman"/>
          <w:b/>
          <w:i/>
          <w:sz w:val="20"/>
        </w:rPr>
        <w:t xml:space="preserve">If we do not obtain patent term extension for any product candidates we may develop, our business may be harmed. </w:t>
      </w:r>
    </w:p>
    <w:p>
      <w:pPr>
        <w:pStyle w:val="TextBody"/>
        <w:bidi w:val="0"/>
        <w:spacing w:before="120" w:after="0"/>
        <w:jc w:val="both"/>
        <w:rPr>
          <w:rFonts w:ascii="Times New Roman" w:hAnsi="Times New Roman"/>
          <w:sz w:val="20"/>
        </w:rPr>
      </w:pPr>
      <w:r>
        <w:rPr>
          <w:rFonts w:ascii="Times New Roman" w:hAnsi="Times New Roman"/>
          <w:sz w:val="20"/>
        </w:rPr>
        <w:t xml:space="preserve">Depending upon the timing, duration and specifics of any FDA regulatory approval of any product candidates we may develop and our technology, our U.S. patent or one or more U.S. patents that may issue in the future based on a patent application that we license or own may be eligible for limited patent term extension under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product, a method for using it or a method for manufacturing it may be extended. The application for the extension must be submitted prior to the expiration of the patent for which extension is sought and within 60 days of FDA approval. A patent that covers multiple products for which approval is sought can only be extended in connection with one of the approvals.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the term of any such extension is less than we request, our competitors may obtain approval of competing products following our patent expiration, and our revenue could be reduced. Any of the foregoing could have a material adverse effect on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Obtaining and maintaining our patent protection is dependent on compliance with various procedural, document submission, fee payment and other requirements imposed by governmental patent agencies, and our patent protection could be reduced or eliminated for non-compliance with these requirements. </w:t>
      </w:r>
    </w:p>
    <w:p>
      <w:pPr>
        <w:pStyle w:val="TextBody"/>
        <w:bidi w:val="0"/>
        <w:spacing w:before="120" w:after="0"/>
        <w:jc w:val="both"/>
        <w:rPr>
          <w:rFonts w:ascii="Times New Roman" w:hAnsi="Times New Roman"/>
          <w:sz w:val="20"/>
        </w:rPr>
      </w:pPr>
      <w:r>
        <w:rPr>
          <w:rFonts w:ascii="Times New Roman" w:hAnsi="Times New Roman"/>
          <w:sz w:val="20"/>
        </w:rPr>
        <w:t xml:space="preserve">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have systems in place to remind us to pay these fees, and we employ an outside firm and/or rely on our outside counsel to pay these fees due to the USPTO and non-U.S. governmental patent agencies. The USPTO and various non-U.S.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 xml:space="preserve">Changes in U.S. patent and ex-U.S. patent laws could diminish the value of patents in general, thereby impairing our ability to protect our current or future product candidates. </w:t>
      </w:r>
    </w:p>
    <w:p>
      <w:pPr>
        <w:pStyle w:val="TextBody"/>
        <w:bidi w:val="0"/>
        <w:spacing w:before="120" w:after="0"/>
        <w:jc w:val="both"/>
        <w:rPr>
          <w:rFonts w:ascii="Times New Roman" w:hAnsi="Times New Roman"/>
          <w:sz w:val="20"/>
        </w:rPr>
      </w:pPr>
      <w:r>
        <w:rPr>
          <w:rFonts w:ascii="Times New Roman" w:hAnsi="Times New Roman"/>
          <w:sz w:val="20"/>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In the United States, numerous recent changes to the patent laws and proposed changes to the rules of the USPTO may have a significant impact on our ability to protect our technology and enforce our intellectual property rights. </w:t>
      </w:r>
    </w:p>
    <w:p>
      <w:pPr>
        <w:pStyle w:val="TextBody"/>
        <w:bidi w:val="0"/>
        <w:spacing w:before="240" w:after="0"/>
        <w:jc w:val="both"/>
        <w:rPr>
          <w:rFonts w:ascii="Times New Roman" w:hAnsi="Times New Roman"/>
          <w:sz w:val="20"/>
        </w:rPr>
      </w:pPr>
      <w:r>
        <w:rPr>
          <w:rFonts w:ascii="Times New Roman" w:hAnsi="Times New Roman"/>
          <w:sz w:val="20"/>
        </w:rPr>
        <w:t xml:space="preserve">For example,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w:t>
      </w:r>
    </w:p>
    <w:p>
      <w:pPr>
        <w:pStyle w:val="TextBody"/>
        <w:bidi w:val="0"/>
        <w:spacing w:before="240" w:after="0"/>
        <w:jc w:val="both"/>
        <w:rPr>
          <w:rFonts w:ascii="Times New Roman" w:hAnsi="Times New Roman"/>
          <w:sz w:val="20"/>
        </w:rPr>
      </w:pPr>
      <w:r>
        <w:rPr>
          <w:rFonts w:ascii="Times New Roman" w:hAnsi="Times New Roman"/>
          <w:sz w:val="20"/>
        </w:rPr>
        <w:t xml:space="preserve">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Leahy-Smith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 </w:t>
      </w:r>
    </w:p>
    <w:p>
      <w:pPr>
        <w:pStyle w:val="TextBody"/>
        <w:bidi w:val="0"/>
        <w:spacing w:before="240" w:after="0"/>
        <w:jc w:val="both"/>
        <w:rPr>
          <w:rFonts w:ascii="Times New Roman" w:hAnsi="Times New Roman"/>
          <w:sz w:val="20"/>
        </w:rPr>
      </w:pPr>
      <w:r>
        <w:rPr>
          <w:rFonts w:ascii="Times New Roman" w:hAnsi="Times New Roman"/>
          <w:sz w:val="20"/>
        </w:rPr>
        <w:t xml:space="preserve">In addition, the patent positions of companies in the development and commercialization of pharmaceuticals and biologics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 For example, in the case, Assoc. for Molecular Pathology v. Myriad Genetics, Inc., the U.S. Supreme Court held that claims to certain DNA molecules are not eligible for patenting. In Amgen Inc. v. Sanofi, 598 U.S. 594 (2023), the Supreme Court held that claims with functional language may face high hurdles in fulfilling the enablement requirement. Recent Federal Circuit decisions such as Cellect v. Vidal, raise questions regarding the award of patent term adjustment (PTA) for patents where related patents have been issued without a PTA. Thus, it cannot be said with certainty how PTA will or will not be viewed in the future and whether patent expiration dates may be impacted. We cannot predict how this and future decisions by the courts, the U.S. Congress or the USPTO may impact the value of our patents. Any similar adverse changes in the patent laws of other jurisdictions could also have a material adverse effect on our business, financial condition, results of operations and prospects. </w:t>
      </w:r>
    </w:p>
    <w:p>
      <w:pPr>
        <w:pStyle w:val="TextBody"/>
        <w:bidi w:val="0"/>
        <w:spacing w:before="240" w:after="0"/>
        <w:jc w:val="both"/>
        <w:rPr>
          <w:rFonts w:ascii="Times New Roman" w:hAnsi="Times New Roman"/>
          <w:sz w:val="20"/>
        </w:rPr>
      </w:pPr>
      <w:r>
        <w:rPr>
          <w:rFonts w:ascii="Times New Roman" w:hAnsi="Times New Roman"/>
          <w:sz w:val="20"/>
        </w:rPr>
        <w:t xml:space="preserve">Furthermore, in Europe, a new unitary patent system took effect June 1, 2023, which will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 </w:t>
      </w:r>
    </w:p>
    <w:p>
      <w:pPr>
        <w:pStyle w:val="TextBody"/>
        <w:bidi w:val="0"/>
        <w:spacing w:before="360" w:after="0"/>
        <w:jc w:val="both"/>
        <w:rPr>
          <w:rFonts w:ascii="Times New Roman" w:hAnsi="Times New Roman"/>
          <w:b/>
          <w:i/>
          <w:sz w:val="20"/>
        </w:rPr>
      </w:pPr>
      <w:r>
        <w:rPr>
          <w:rFonts w:ascii="Times New Roman" w:hAnsi="Times New Roman"/>
          <w:b/>
          <w:i/>
          <w:sz w:val="20"/>
        </w:rPr>
        <w:t xml:space="preserve">If our trademarks and trade names are not adequately protected, then we may not be able to build name recognition in our markets of interest and our business may be adversely affected. </w:t>
      </w:r>
    </w:p>
    <w:p>
      <w:pPr>
        <w:pStyle w:val="TextBody"/>
        <w:bidi w:val="0"/>
        <w:spacing w:before="120" w:after="0"/>
        <w:jc w:val="both"/>
        <w:rPr>
          <w:rFonts w:ascii="Times New Roman" w:hAnsi="Times New Roman"/>
          <w:sz w:val="20"/>
        </w:rPr>
      </w:pPr>
      <w:r>
        <w:rPr>
          <w:rFonts w:ascii="Times New Roman" w:hAnsi="Times New Roman"/>
          <w:sz w:val="20"/>
        </w:rPr>
        <w:t xml:space="preserve">Our current or future trademarks or trade names may be challenged, infringed, circumvented or declared generic or descriptive or determined to be infringing on other marks. We may not be able to protect our rights to these trademarks and trade names or may be forced to stop using these names, which we need for name recognition by potential partners or customers in our markets of interest. </w:t>
      </w:r>
    </w:p>
    <w:p>
      <w:pPr>
        <w:pStyle w:val="TextBody"/>
        <w:bidi w:val="0"/>
        <w:spacing w:before="240" w:after="0"/>
        <w:jc w:val="both"/>
        <w:rPr>
          <w:rFonts w:ascii="Times New Roman" w:hAnsi="Times New Roman"/>
          <w:sz w:val="20"/>
        </w:rPr>
      </w:pPr>
      <w:r>
        <w:rPr>
          <w:rFonts w:ascii="Times New Roman" w:hAnsi="Times New Roman"/>
          <w:sz w:val="20"/>
        </w:rPr>
        <w:t xml:space="preserve">During trademark registration proceedings, we may receive rejections of our applications by the USPTO or in other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license our trademarks and trade names to third parties, such as distributors. Although these license agreements may provide guidelines for how our trademarks and trade names may be used, a breach of these agreements or misuse of our trademarks and trade names by our licensees may jeopardize our rights in or diminish the goodwill associated with our trademarks and trade names. Moreover, any name we have proposed to use with our therapeutic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w:t>
      </w:r>
    </w:p>
    <w:p>
      <w:pPr>
        <w:pStyle w:val="TextBody"/>
        <w:bidi w:val="0"/>
        <w:spacing w:before="360" w:after="0"/>
        <w:jc w:val="both"/>
        <w:rPr>
          <w:rFonts w:ascii="Times New Roman" w:hAnsi="Times New Roman"/>
          <w:b/>
          <w:i/>
          <w:sz w:val="20"/>
        </w:rPr>
      </w:pPr>
      <w:r>
        <w:rPr>
          <w:rFonts w:ascii="Times New Roman" w:hAnsi="Times New Roman"/>
          <w:b/>
          <w:i/>
          <w:sz w:val="20"/>
        </w:rPr>
        <w:t xml:space="preserve">Intellectual property rights do not necessarily address all potential threats to our business. </w:t>
      </w:r>
    </w:p>
    <w:p>
      <w:pPr>
        <w:pStyle w:val="TextBody"/>
        <w:bidi w:val="0"/>
        <w:spacing w:before="120" w:after="0"/>
        <w:jc w:val="both"/>
        <w:rPr>
          <w:rFonts w:ascii="Times New Roman" w:hAnsi="Times New Roman"/>
          <w:sz w:val="20"/>
        </w:rPr>
      </w:pPr>
      <w:r>
        <w:rPr>
          <w:rFonts w:ascii="Times New Roman" w:hAnsi="Times New Roman"/>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others may be able to develop products that are similar to our product candidates but that are not covered by the claims of the patents that we own or license;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or our licensors or collaborators might not have been the first to make the inventions covered by the issued patents or patent application that we own or license;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or our licensors or collaborators might not have been the first to file patent applications covering certain of our inventions;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others may independently develop similar or alternative technologies or duplicate any of our technologies without infringing our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it is possible that the pending patent applications we own or license will not lead to issued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issued patents that we own or license may be held invalid or unenforceable, as a result of legal challenges by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may not develop additional proprietary technologies that are patentable;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patents of others may have an adverse effect on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may fail to adequately protect and police our trademarks and trade secrets;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may choose not to file a patent in order to maintain certain trade secrets or know-how, and a third party may subsequently file a patent covering such intellectual property. </w:t>
            </w:r>
          </w:p>
        </w:tc>
      </w:tr>
    </w:tbl>
    <w:p>
      <w:pPr>
        <w:pStyle w:val="TextBody"/>
        <w:bidi w:val="0"/>
        <w:spacing w:before="240" w:after="0"/>
        <w:jc w:val="both"/>
        <w:rPr>
          <w:rFonts w:ascii="Times New Roman" w:hAnsi="Times New Roman"/>
          <w:sz w:val="20"/>
        </w:rPr>
      </w:pPr>
      <w:r>
        <w:rPr>
          <w:rFonts w:ascii="Times New Roman" w:hAnsi="Times New Roman"/>
          <w:sz w:val="20"/>
        </w:rPr>
        <w:t xml:space="preserve">Should any of these events occur, it could significantly harm our business, financial condition, results of operations and prospects.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Reliance on Third Parties </w:t>
      </w:r>
    </w:p>
    <w:p>
      <w:pPr>
        <w:pStyle w:val="TextBody"/>
        <w:bidi w:val="0"/>
        <w:spacing w:before="120" w:after="0"/>
        <w:jc w:val="both"/>
        <w:rPr>
          <w:rFonts w:ascii="Times New Roman" w:hAnsi="Times New Roman"/>
          <w:b/>
          <w:i/>
          <w:sz w:val="20"/>
        </w:rPr>
      </w:pPr>
      <w:r>
        <w:rPr>
          <w:rFonts w:ascii="Times New Roman" w:hAnsi="Times New Roman"/>
          <w:b/>
          <w:i/>
          <w:sz w:val="20"/>
        </w:rPr>
        <w:t xml:space="preserve">We are dependent on sole source and limited source suppliers for certain drug products, raw materials, samples, components, and other materials used in our product candidates. If we are unable to source these supplies on a timely basis, or establish longer-term contracts with our CMOs, we will not be able to complete our clinical trials on time and the development of our product candidates may be delayed. </w:t>
      </w:r>
    </w:p>
    <w:p>
      <w:pPr>
        <w:pStyle w:val="TextBody"/>
        <w:bidi w:val="0"/>
        <w:spacing w:before="120" w:after="0"/>
        <w:jc w:val="both"/>
        <w:rPr>
          <w:rFonts w:ascii="Times New Roman" w:hAnsi="Times New Roman"/>
          <w:sz w:val="20"/>
        </w:rPr>
      </w:pPr>
      <w:r>
        <w:rPr>
          <w:rFonts w:ascii="Times New Roman" w:hAnsi="Times New Roman"/>
          <w:sz w:val="20"/>
        </w:rPr>
        <w:t xml:space="preserve">We are dependent on sole source and limited source suppliers for certain drug products, raw materials, samples, components, and other materials used in our product candidates. For example, we rely on WuXi AppTec, WuXi Biologics and their affiliates (WuXi) to perform preclinical studies and supply drug substance and products for our pipeline assets. If we are unable to source these supplies on a timely basis, or establish longer-term contracts with our CMOs, we will not be able to complete our clinical trials on time and the development of our product candidates may be delayed. We do not currently have long-term supply contracts with any of our CMOs and they are not obligated to supply drug products to us for any period, in any specified quantity or at any certain price beyond the delivery contemplated by the relevant purchase orders. As a result, our suppliers could stop selling to us at commercially reasonable prices, or at all. While we intend to enter into long-term master supply agreements with certain of our CMOs in the future as we advance our clinical trials or commercialization plans, we may not be successful in negotiating such agreements on favorable terms or at all. If we do enter into such long-term master supply agreements, or enter into such agreements on less favorable terms than we currently have with such manufacturers, we could be subject to binding long-term purchase obligations that may be harmful to our business, including in the event that we do not conduct our trials on planned timelines or utilize the drug products that we are required to purchase. Any change in our relationships with our CMOs or changes to contractual terms of our agreements with them could adversely affect our business, financial condition, results of operations and prospects. Furthermore, any of the sole source and limited source suppliers upon whom we rely could stop producing our supplies, cease operations or be acquired by, or enter into exclusive arrangements with, one or more of our competitors.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Additionally, our manufacturing process for ATTO-1310, ATTO-2306 and ATTO-1091 requires special equipment, and identifying additional suppliers able to fabricate such equipment at their facility at acceptable costs may be difficult. Establishing additional or replacement suppliers for these supplies, and obtaining regulatory clearance or approvals that may result from adding or replacing suppliers, could take a substantial amount of time, result in increased costs and impair our ability to produce our products, which would adversely impact our business, financial condition, results of operations and prospects. Any such interruption or delay may force us to seek similar supplies from alternative sources, which may not be available at reasonable prices, or at all. Any interruption in the supply of sole source or limited source components for our product candidates would adversely affect our ability to meet scheduled timelines and budget for the development and commercialization of our product candidates, could result in higher expenses and would harm our business. Although we have not experienced any significant disruption as a result of our reliance on limited or sole source suppliers, we have a limited operating history and cannot assure you that we will not experience disruptions in our supply chain in the future as a result of such reliance or otherwise.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rights to develop and commercialize our ATTOBODY Platform and product candidates are subject, in part, to the terms and conditions of licenses granted to us by others. </w:t>
      </w:r>
    </w:p>
    <w:p>
      <w:pPr>
        <w:pStyle w:val="TextBody"/>
        <w:bidi w:val="0"/>
        <w:spacing w:before="120" w:after="0"/>
        <w:jc w:val="both"/>
        <w:rPr>
          <w:rFonts w:ascii="Times New Roman" w:hAnsi="Times New Roman"/>
          <w:sz w:val="20"/>
        </w:rPr>
      </w:pPr>
      <w:r>
        <w:rPr>
          <w:rFonts w:ascii="Times New Roman" w:hAnsi="Times New Roman"/>
          <w:sz w:val="20"/>
        </w:rPr>
        <w:t xml:space="preserve">We have licensed and are dependent on certain patent rights and proprietary technology from third parties that are important or necessary to the development of our ATTOBODY Platform and product candidates. For example, we are a party to the Alamar Platform License Agreement with Alamar, a beneficial owner of more than 5% of our capital stock, pursuant to which we license patents and patent applications that relate to our ATTOBODY Platform. The Alamar Platform License Agreement imposes various milestone payment, royalty, insurance, indemnification and other obligations on us. If we breach any material obligation, or use the intellectual property licensed to us in an unauthorized manner, we may be required to pay damages and Alamar may have the right to terminate the license. If the license is terminated, we may be unable to develop, manufacture, sell, or use our ATTOBODY Platform and products that are covered by the patents licensed under the Alamar Platform License Agreement, and Alamar may allow a competitor to license the covered technology instead. For more information regarding this agreement, please see “Business—Alamar Platform License Agreement.” </w:t>
      </w:r>
    </w:p>
    <w:p>
      <w:pPr>
        <w:pStyle w:val="TextBody"/>
        <w:bidi w:val="0"/>
        <w:spacing w:before="240" w:after="0"/>
        <w:jc w:val="both"/>
        <w:rPr>
          <w:rFonts w:ascii="Times New Roman" w:hAnsi="Times New Roman"/>
          <w:sz w:val="20"/>
        </w:rPr>
      </w:pPr>
      <w:r>
        <w:rPr>
          <w:rFonts w:ascii="Times New Roman" w:hAnsi="Times New Roman"/>
          <w:sz w:val="20"/>
        </w:rPr>
        <w:t xml:space="preserve">Our licenses may not provide us with exclusive rights to use the licensed intellectual property and technology in all relevant fields of use and in all territories in which we may wish to develop or commercialize our ATTOBODY technologies and product candidates in the future. Some licenses granted to us are subject to certain preexisting rights. Further, our out-licensing agreements generally include exclusivity terms limiting our ability to develop product candidates that may compete with the relevant licensed target or product. </w:t>
      </w:r>
    </w:p>
    <w:p>
      <w:pPr>
        <w:pStyle w:val="TextBody"/>
        <w:bidi w:val="0"/>
        <w:spacing w:before="240" w:after="0"/>
        <w:jc w:val="both"/>
        <w:rPr>
          <w:rFonts w:ascii="Times New Roman" w:hAnsi="Times New Roman"/>
          <w:sz w:val="20"/>
        </w:rPr>
      </w:pPr>
      <w:r>
        <w:rPr>
          <w:rFonts w:ascii="Times New Roman" w:hAnsi="Times New Roman"/>
          <w:sz w:val="20"/>
        </w:rPr>
        <w:t xml:space="preserve">We do not have complete control in the preparation, filing, prosecution, maintenance, enforcement and defense of patents and patent applications covering the technology that we license from third parties. It is possible that our licensors’ enforcement of patents against infringers or defense of such patents against challenges of validity or claims of enforceability may be less vigorous than if we had conducted them ourselves, or may not be conducted in accordance with our best interests.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our right to develop and commercialize any of our product candidates we may develop that are the subject of such licensed rights could be adversely affected and we may not be able to prevent competitors from making, using and selling competing products.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Sharing trade secrets with employees, consultants or other third parties may expose us to potential litigation. </w:t>
      </w:r>
    </w:p>
    <w:p>
      <w:pPr>
        <w:pStyle w:val="TextBody"/>
        <w:bidi w:val="0"/>
        <w:spacing w:before="120" w:after="0"/>
        <w:jc w:val="both"/>
        <w:rPr>
          <w:rFonts w:ascii="Times New Roman" w:hAnsi="Times New Roman"/>
          <w:sz w:val="20"/>
        </w:rPr>
      </w:pPr>
      <w:r>
        <w:rPr>
          <w:rFonts w:ascii="Times New Roman" w:hAnsi="Times New Roman"/>
          <w:sz w:val="20"/>
        </w:rPr>
        <w:t xml:space="preserve">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valuable intellectual property rights or personnel. Many of our employees, including our management, were previously employed at biotechnology or biopharmaceutical companies, including our competitors or potential competitors. Some of these employees executed proprietary rights, non-disclosure and non-competition agreements in connection with such previous employment.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develop and ultimately commercialize, or prevent us from developing and commercializing, ATTO-1310, ATTO-2306, ATTO-1091 or any future product candidates, which could severely harm our business, financial condition, results of operations and prospects. Even if we are successful in defending against these claims, litigation could result in substantial costs and be a distraction to management.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in the future, seek to enter into collaborations with third parties for the discovery, development and commercialization of product candidates, if approved, and we may not be successful in doing so. If those collaborations are not successful, we may not be able to capitalize on the market potential of ATTO-1310, ATTO-2306, ATTO-1091 or future product candidates. </w:t>
      </w:r>
    </w:p>
    <w:p>
      <w:pPr>
        <w:pStyle w:val="TextBody"/>
        <w:bidi w:val="0"/>
        <w:spacing w:before="120" w:after="0"/>
        <w:jc w:val="both"/>
        <w:rPr>
          <w:rFonts w:ascii="Times New Roman" w:hAnsi="Times New Roman"/>
          <w:sz w:val="20"/>
        </w:rPr>
      </w:pPr>
      <w:r>
        <w:rPr>
          <w:rFonts w:ascii="Times New Roman" w:hAnsi="Times New Roman"/>
          <w:sz w:val="20"/>
        </w:rPr>
        <w:t xml:space="preserve">We may seek third-party collaborators for the development and commercialization of our current or any future product candidates, if approved, on a select basis, including potentially in specific foreign jurisdictions. We have not entered into any such collaborations to date. Our likely collaborators for any future collaboration arrangements include large and mid-size biopharmaceutical companies, regional and national biopharmaceutical companies and biotechnology companies. We will face significant competition in seeking appropriate collaborators. Whether we decide to enter into any collaboration arrangement will depend, among other things, on our assessment of the future collaborator’s resources and expertise, the terms and conditions of the proposed collaboration and the proposed collaborator’s evaluation of our business. As such, there can be no assurance that we will reach a definitive agreement for a future collaboration with any third-party collaborators. </w:t>
      </w:r>
    </w:p>
    <w:p>
      <w:pPr>
        <w:pStyle w:val="TextBody"/>
        <w:bidi w:val="0"/>
        <w:spacing w:before="240" w:after="0"/>
        <w:jc w:val="both"/>
        <w:rPr>
          <w:rFonts w:ascii="Times New Roman" w:hAnsi="Times New Roman"/>
          <w:sz w:val="20"/>
        </w:rPr>
      </w:pPr>
      <w:r>
        <w:rPr>
          <w:rFonts w:ascii="Times New Roman" w:hAnsi="Times New Roman"/>
          <w:sz w:val="20"/>
        </w:rPr>
        <w:t xml:space="preserve">If we do enter into any such arrangements with any third parties, we will likely have limited control over the amount and timing of resources that our future collaborators dedicate to the development or commercialization of our current or any future product candidates. Our ability to generate revenues from these arrangements will be dependent on our future collaborators’ abilities and efforts to successfully perform the functions assigned to them in these arrangements. Collaborations with future collaborators involving our current or any future product candidates would pose numerous risks to us,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collaborators have significant discretion in determining the efforts and resources that they will apply to these collaborations and may not perform their obligations as expected;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collaborators may de-emphasize or not pursue development and commercialization of our current or any future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collaborators could independently develop, or develop with third parties, products that compete directly or indirectly with our current or any future product candidates if the collaborators believe that competitive products are more likely to be successfully developed or can be commercialized under terms that are more economically attractive than ours;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collaborator with marketing and distribution rights to multiple products may not commit sufficient resources to the marketing and distribution of our product, if approved, relative to other products;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disputes may arise between the collaborators and us, such as conflicts concerning the interpretation of preclinical or clinical data, the achievement of milestones, the interpretation of contractual obligations, payments for services, development obligations or the ownership of intellectual property developed during our collaboration, any of which could result in the delay or termination of the research, development or, if approved, commercialization of our current or any future product candidates or that result in costly litigation or arbitration that diverts management attention and resources and in turn could prevent us from generating revenue and limit or prevent us from entering into additional collaborations;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collaborations may be terminated and, if terminated, may result in a need for additional capital to pursue further development or, if approved, commercialization of the applicable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collaboration agreements may not lead to development or, if approved, commercialization of product candidates in the most efficient manner or at all;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a future collaborator of ours were to be involved in a business combination, the continued pursuit and emphasis on our product development or, if approved, commercialization program could be delayed, diminished or terminated.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we establish one or more collaborations, all of the risks relating to product development, regulatory approval and, if approved, commercialization described above would also apply to the activities of any such future collaborators.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rely, and intend to continue to rely, on third parties to conduct our clinical trials and perform some of our research and potential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marketing authorization, each of which may have an adverse effect on our business, financial condition, results of operations and prospects. </w:t>
      </w:r>
    </w:p>
    <w:p>
      <w:pPr>
        <w:pStyle w:val="TextBody"/>
        <w:bidi w:val="0"/>
        <w:spacing w:before="120" w:after="0"/>
        <w:jc w:val="both"/>
        <w:rPr>
          <w:rFonts w:ascii="Times New Roman" w:hAnsi="Times New Roman"/>
          <w:sz w:val="20"/>
        </w:rPr>
      </w:pPr>
      <w:r>
        <w:rPr>
          <w:rFonts w:ascii="Times New Roman" w:hAnsi="Times New Roman"/>
          <w:sz w:val="20"/>
        </w:rPr>
        <w:t xml:space="preserve">We do not have the ability to independently conduct all aspects of our clinical trials ourselves. As a result, we are dependent on third parties to conduct our ongoing and planned clinical trials of ATTO-1310, ATTO-2306 and ATTO-1091, any preclinical studies and all clinical trials of any future product candidates. The timing of the initiation and completion of these trials will therefore be partially controlled by such third parties and may result in delays to our development programs. Specifically, we expect CROs, independent clinical investigators and consultants to play a significant role in the conduct of these trials and the subsequent collection and analysis of data. However, these investigators,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investigators, CROs and other third parties does not relieve us of our regulatory responsibilities. We and our CROs are required to comply with GCP requirements, which are regulations and guidelines enforced by the FDA for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cannot assure you that, upon inspection, the FDA will determine that our clinical trials comply with GCPs. In addition, our clinical trials must be conducted with product produced under current good manufacturing practice (cGMP) regulations. Our failure or the failure of third parties on whom we rely to comply with these regulations may require us to stop and/or repeat clinical trials, which would delay the marketing authorization process.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There is no guarantee that any such CROs, clinical trial investigators or other third parties on which we rely will devote adequate time and resources to our development activities or perform as contractually required. In addition, these third parties may be subject to supply chain or inflationary pressures that limit their ability to achieve anticipated timelines or result in a greater cost to us. For example, we are aware of recurrent shortages of non-human primates available for preclinical studies and although that is not expected to impact our current business, if we begin new product development programs we could be subject to longer development times or difficulty completing necessary research.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If our clinical trial site terminates for any reason, we may experience the loss of follow-up information on subjects enrolled in such clinical trial unless we are able to transfer those subjects to another qualified clinical trial site, which may be difficult or impossible. </w:t>
      </w:r>
    </w:p>
    <w:p>
      <w:pPr>
        <w:pStyle w:val="TextBody"/>
        <w:bidi w:val="0"/>
        <w:spacing w:before="240" w:after="0"/>
        <w:jc w:val="both"/>
        <w:rPr>
          <w:rFonts w:ascii="Times New Roman" w:hAnsi="Times New Roman"/>
          <w:sz w:val="20"/>
        </w:rPr>
      </w:pPr>
      <w:r>
        <w:rPr>
          <w:rFonts w:ascii="Times New Roman" w:hAnsi="Times New Roman"/>
          <w:sz w:val="20"/>
        </w:rPr>
        <w:t xml:space="preserve">In addition, with respect to investigator-sponsored trials that may be conducted, we would not control the design or conduct of these trials, and it is possible that the FDA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access to and the ability to use and reference the data, including for our own regulatory submissions,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 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The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marketing authorization for our product candidates and the public perception of our product candidates. Additionally, the FDA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may require us to obtain and submit additional preclinical, manufacturing, or clinical data. </w:t>
      </w:r>
    </w:p>
    <w:p>
      <w:pPr>
        <w:pStyle w:val="TextBody"/>
        <w:bidi w:val="0"/>
        <w:spacing w:before="240" w:after="0"/>
        <w:jc w:val="both"/>
        <w:rPr>
          <w:rFonts w:ascii="Times New Roman" w:hAnsi="Times New Roman"/>
          <w:sz w:val="20"/>
        </w:rPr>
      </w:pPr>
      <w:r>
        <w:rPr>
          <w:rFonts w:ascii="Times New Roman" w:hAnsi="Times New Roman"/>
          <w:sz w:val="20"/>
        </w:rPr>
        <w:t xml:space="preserve">Furthermore, these third parties may also have relationships with other entities, some of which may be our competitors for whom they may also be conducting clinical trials or other therapeutic candidate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regulatory approval for ATTO-1310, ATTO-2306, ATTO-1091 and any future product candidates and will not be able to, or may be delayed in our efforts to, successfully commercialize our products.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rely on third parties to manufacture our product candidates and clinical product supplies and we may not be able to obtain adequate supplies at a reasonable cost or in a timely way. </w:t>
      </w:r>
    </w:p>
    <w:p>
      <w:pPr>
        <w:pStyle w:val="TextBody"/>
        <w:bidi w:val="0"/>
        <w:spacing w:before="120" w:after="0"/>
        <w:jc w:val="both"/>
        <w:rPr>
          <w:rFonts w:ascii="Times New Roman" w:hAnsi="Times New Roman"/>
          <w:sz w:val="20"/>
        </w:rPr>
      </w:pPr>
      <w:r>
        <w:rPr>
          <w:rFonts w:ascii="Times New Roman" w:hAnsi="Times New Roman"/>
          <w:sz w:val="20"/>
        </w:rPr>
        <w:t xml:space="preserve">The process of manufacturing therapeutic candidates is complex and highly regulated. We do not have any manufacturing facilities or plans to establish manufacturing capabilities in the near future. We rely, and expect to continue to rely, on third parties, including foreign manufacturers, for the manufacture of our product candidates for preclinical and clinical testing, development purposes, to support regulatory application submissions, as well as for commercial manufacture if any of our product candidates obtain marketing approval. This reliance on third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parties increases the risk that we will not have sufficient quantities of our product candidates or such quantities at an acceptable cost or quality, which could delay, prevent or impair our development or commercialization efforts. In addition, global health crises or geopolitical conflict may result in disruptions to the operations or an extended shutdown of certain businesses, which could include certain of our contract manufacturers. Further, as our product candidates are developed through preclinical studies to late-stage clinical trials towards approval and commercialization, we are likely to alter various aspects of the development program, such as manufacturing and testing methods, to optimize processes and results, which may result in additional cost or delay. </w:t>
      </w:r>
    </w:p>
    <w:p>
      <w:pPr>
        <w:pStyle w:val="TextBody"/>
        <w:bidi w:val="0"/>
        <w:spacing w:before="240" w:after="0"/>
        <w:jc w:val="both"/>
        <w:rPr>
          <w:rFonts w:ascii="Times New Roman" w:hAnsi="Times New Roman"/>
          <w:sz w:val="20"/>
        </w:rPr>
      </w:pPr>
      <w:r>
        <w:rPr>
          <w:rFonts w:ascii="Times New Roman" w:hAnsi="Times New Roman"/>
          <w:sz w:val="20"/>
        </w:rPr>
        <w:t xml:space="preserve">We have only limited supply arrangements in place with respect to our product candidates, and these arrangements do not extend to Phase 3 clinical or commercial supply. We acquire many key materials on a purchase order basis. As a result, we may not have long-term committed arrangements with respect to aspects of our product candidates and other materials. We will need to establish one or more agreements with third parties to develop and scale up the drug manufacturing process, conduct testing, and generate data to support regulatory submissions, and may be unable to do so on favorable terms. If we obtain marketing approval for any of our product candidates, we will need to establish an agreement for commercial manufacture with a third party. Even if we are able to establish agreements with third-party manufacturers, reliance on third-party manufacturers entails additional risks,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reliance on the third party for regulatory, compliance and quality assurance;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reliance on the third party for product development, analytical testing, and data generation to support regulatory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operations of our third-party manufacturers or suppliers could be disrupted by conditions unrelated to our business or operations, including the bankruptcy of the manufacturer or supplier, the issuance of an FDA Form 483 notice or warning letter, or other enforcement action by FDA or other comparable foreign regulatory 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possible breach of the manufacturing agreement by the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possible infringement, misappropriation, violation or unauthorized disclosure of our intellectual property and proprietary rights, including our trade secrets, know-how and other confidential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possible termination or nonrenewal of the agreement by the third party at a time that is costly or inconvenient for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competition with other companies for access to manufacturing capacity;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carrier disruptions or increased costs that are beyond our control;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failure to deliver our products under specified storage conditions and in a timely manner.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Third-party manufacturers may not be able to comply with cGMP regulations or similar regulatory requirements outside of the United States. If the FDA determines that our CMOs are not in compliance with FDA laws and regulations, including those governing cGMPs, the FDA may not approve a BLA until the deficiencies are corrected or we replace the manufacturer in our application with a manufacturer that is in compliance. Moreover, our failure, or the failure of our third-party manufacturers and suppliers, to comply with applicable regulations could result in sanctions being imposed on us, including clinical holds, fines, injunctions, civil penalties, seizures or recalls of product candidates,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Further, we rely on third parties located in China for some of our contract manufacturing, and we expect to continue to use such third-party manufacturers for such purposes. For any activities conducted in China, we are exposed to the possibility of product supply disruption and increased costs in the event of changes in the policies of the United States or Chinese governments, political unrest or unstable economic conditions in China. In addition, certain Chinese biotechnology companies may become subject to trade restrictions, sanctions, other regulatory requirements, or proposed legislation by the U.S. government, which could restrict or even prohibit our ability to work with such entities, thereby potentially disrupting the supply of material to us. For example, the BIOSECURE Act, which was signed into law in December 2025 as part of the National Defense Authorization Act for FY 2026, prohibits U.S. federal agencies from entering into or renewing any contract, loan, or grant with any entity that uses biotechnology equipment or services produced or provided by a “biotechnology company of concern” to perform that contract as well as authorizes the U.S. government to name additional Chinese “biotechnology companies of concern.” The Office of Management and Budget (OMB) of the U.S. government will issue a list of “biotechnology companies of concern,” which will include certain companies that are identified on the U.S. Department of Defense’s annual List of Chinese Military Companies, also known as the 1260H List, other entities which the U.S. government has deemed as such pursuant to a separate designation process, and certain subsidiary, parent and successor entities of the foregoing. We are currently party to agreements with WuXi AppTec, WuXi Biologics and their affiliates for certain development and manufacturing services. WuXi AppTec was designated on the 1260H List on June 8, 2026. WuXi Biologics is not currently designated on the 1260H List; however, WuXi Biologics was previously explicitly named as a “biotechnology company of concern” in prior versions of the BIOSECURE Act. There is a safe harbor provision providing that the restrictions do not apply to equipment or services that were formerly but are no longer provided by a “biotechnology company of concern,” as well as a grandfathering provision providing that the prohibitions shall not apply for a five-year period to biotechnology equipment or services produced or provided under a contract or agreement entered into before the applicable effective date. It is unclear whether the grandfathering provision would apply to entities designated as “biotechnology companies of concern” due to their inclusion on the 1260H List. The guidance to be issued by the Office of Management and Budget regarding implementation of the BIOSECURE Act may provide further clarity on this point. If WuXi AppTec, WuXi Biologics and/or other WuXi affiliates that are or may become contractors of ours are designated as “biotechnology companies of concern” by OMB, we may be restricted in our ability to work with such companies to the extent we would contract with, or otherwise receive funding from, the U.S. government. As a result, we may need to seek alternative CMO relationships. While we believe we will be able to identify and contract with such alternative CMOs, we cannot predict the terms of any such alternative arrangement nor what actions may ultimately be taken with respect to trade relations between the United States and China or other countries, what products and services may be subject to such actions or what actions may be taken by China or the other countries in retaliation. In addition, any unfavorable government policies on international trade, such as export controls, capital controls or tariffs, new legislation or regulations, renegotiation of existing trade agreements, or any retaliatory trade actions due to recent or future trade tension, may impede, delay, limit, or increase the cost of manufacturing our product candidates. Such events could result in our clinical or commercial supply of drug, packaging and other services being interrupted or limited, which could harm our business. </w:t>
      </w:r>
    </w:p>
    <w:p>
      <w:pPr>
        <w:pStyle w:val="TextBody"/>
        <w:bidi w:val="0"/>
        <w:spacing w:before="240" w:after="0"/>
        <w:jc w:val="both"/>
        <w:rPr>
          <w:rFonts w:ascii="Times New Roman" w:hAnsi="Times New Roman"/>
          <w:sz w:val="20"/>
        </w:rPr>
      </w:pPr>
      <w:r>
        <w:rPr>
          <w:rFonts w:ascii="Times New Roman" w:hAnsi="Times New Roman"/>
          <w:sz w:val="20"/>
        </w:rPr>
        <w:t xml:space="preserve">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 </w:t>
      </w:r>
    </w:p>
    <w:p>
      <w:pPr>
        <w:pStyle w:val="TextBody"/>
        <w:bidi w:val="0"/>
        <w:spacing w:before="240" w:after="0"/>
        <w:jc w:val="both"/>
        <w:rPr>
          <w:rFonts w:ascii="Times New Roman" w:hAnsi="Times New Roman"/>
          <w:sz w:val="20"/>
        </w:rPr>
      </w:pPr>
      <w:r>
        <w:rPr>
          <w:rFonts w:ascii="Times New Roman" w:hAnsi="Times New Roman"/>
          <w:sz w:val="20"/>
        </w:rPr>
        <w:t xml:space="preserve">Any performance failure on the part of our existing or future manufacturers could delay clinical development or marketing approval. We do not currently have arrangements in place for redundant supply or a second source for bulk drug substance. If our current CMOs for preclinical and clinical testing cannot perform as agreed, we may be required to replace such CMOs. Although we believe that there are several potential alternative manufacturers who could manufacture our product candidates, we may incur added costs and delays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in identifying and qualifying any such replacement manufacturer or be able to reach agreement with any alternative manufacturer. Further, our third-party manufacturers may experience manufacturing or shipping difficulties due to resource constraints or as a result of natural disasters, labor disputes, unstable political environments, or global health crises. If our current third-party manufacturers cannot perform as agreed, we may be required to replace such manufacturers and we may be unable to replace them on a timely basis or at all. </w:t>
      </w:r>
    </w:p>
    <w:p>
      <w:pPr>
        <w:pStyle w:val="TextBody"/>
        <w:bidi w:val="0"/>
        <w:spacing w:before="240" w:after="0"/>
        <w:jc w:val="both"/>
        <w:rPr>
          <w:rFonts w:ascii="Times New Roman" w:hAnsi="Times New Roman"/>
          <w:sz w:val="20"/>
        </w:rPr>
      </w:pPr>
      <w:r>
        <w:rPr>
          <w:rFonts w:ascii="Times New Roman" w:hAnsi="Times New Roman"/>
          <w:sz w:val="20"/>
        </w:rPr>
        <w:t xml:space="preserve">Our current and anticipated future dependence upon others for the manufacture of our product candidates may adversely affect our future profit margins and our ability to commercialize any products that obtain marketing approval on a timely and competitive basis.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Government Regulation </w:t>
      </w:r>
    </w:p>
    <w:p>
      <w:pPr>
        <w:pStyle w:val="TextBody"/>
        <w:bidi w:val="0"/>
        <w:spacing w:before="120" w:after="0"/>
        <w:jc w:val="both"/>
        <w:rPr>
          <w:rFonts w:ascii="Times New Roman" w:hAnsi="Times New Roman"/>
          <w:b/>
          <w:i/>
          <w:sz w:val="20"/>
        </w:rPr>
      </w:pPr>
      <w:r>
        <w:rPr>
          <w:rFonts w:ascii="Times New Roman" w:hAnsi="Times New Roman"/>
          <w:b/>
          <w:i/>
          <w:sz w:val="20"/>
        </w:rPr>
        <w:t xml:space="preserve">The regulatory approval process is highly uncertain, and we may be unable to obtain, or may be delayed in obtaining, U.S. or foreign regulatory approval and, as a result, unable to commercialize ATTO-1310, ATTO-2306, ATTO-1091 and any future product candidates. Even if we believe our current, or planned clinical trials are successful, regulatory authorities may not agree that they provide adequate data on safety or efficacy. </w:t>
      </w:r>
    </w:p>
    <w:p>
      <w:pPr>
        <w:pStyle w:val="TextBody"/>
        <w:bidi w:val="0"/>
        <w:spacing w:before="240" w:after="0"/>
        <w:jc w:val="both"/>
        <w:rPr>
          <w:rFonts w:ascii="Times New Roman" w:hAnsi="Times New Roman"/>
          <w:sz w:val="20"/>
        </w:rPr>
      </w:pPr>
      <w:r>
        <w:rPr>
          <w:rFonts w:ascii="Times New Roman" w:hAnsi="Times New Roman"/>
          <w:sz w:val="20"/>
        </w:rPr>
        <w:t xml:space="preserve">ATTO-1310, ATTO-2306, ATTO-1091 and any future product candidates are subject to extensive governmental regulations relating to, among other things, research, testing, development, manufacturing, approval, recordkeeping, reporting, labeling, storage, packaging, advertising and promotion, pricing, post-approval monitoring, marketing and distribution of products. Rigorous preclinical testing and clinical trials and an extensive regulatory approval process are required to be completed successfully in the United States and in many foreign jurisdictions before a new biopharmaceutical product can be marketed. Satisfaction of these and other regulatory requirements is costly, time consuming, uncertain and subject to unanticipated delays. It is possible that none of the product candidates we may develop will obtain the regulatory approvals necessary for us to begin selling them. </w:t>
      </w:r>
    </w:p>
    <w:p>
      <w:pPr>
        <w:pStyle w:val="TextBody"/>
        <w:bidi w:val="0"/>
        <w:spacing w:before="240" w:after="0"/>
        <w:jc w:val="both"/>
        <w:rPr>
          <w:rFonts w:ascii="Times New Roman" w:hAnsi="Times New Roman"/>
          <w:sz w:val="20"/>
        </w:rPr>
      </w:pPr>
      <w:r>
        <w:rPr>
          <w:rFonts w:ascii="Times New Roman" w:hAnsi="Times New Roman"/>
          <w:sz w:val="20"/>
        </w:rPr>
        <w:t xml:space="preserve">We have no prior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on the type, complexity and novelty of the product candidate. The standards that the FDA and its foreign counterparts use when regulating us require judgment and can change, which makes it difficult to predict with certainty their application.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not possible to predict whether additional legislative changes will be enacted, or whether FDA or foreign regulations, guidance or interpretations will be changed, or the impact of such changes, if any. Any elongation or de-prioritization of preclinical studies or clinical trials or delay in regulatory review resulting from such disruptions could adversely affect the development and study of ATTO-1310, ATTO-2306, ATTO-1091 or other future product candidates. </w:t>
      </w:r>
    </w:p>
    <w:p>
      <w:pPr>
        <w:pStyle w:val="TextBody"/>
        <w:bidi w:val="0"/>
        <w:spacing w:before="240" w:after="0"/>
        <w:jc w:val="both"/>
        <w:rPr>
          <w:rFonts w:ascii="Times New Roman" w:hAnsi="Times New Roman"/>
          <w:sz w:val="20"/>
        </w:rPr>
      </w:pPr>
      <w:r>
        <w:rPr>
          <w:rFonts w:ascii="Times New Roman" w:hAnsi="Times New Roman"/>
          <w:sz w:val="20"/>
        </w:rPr>
        <w:t xml:space="preserve">Further, the FDA and other comparable foreign regulatory authorities may respond to any Investigational New Drug Application (IND) or Biologics License Application (BLA) (and their foreign equivalents) that we may submit by defining requirements that we do not anticipate. Such responses could delay clinical development of ATTO-1310, ATTO-2306, ATTO-1091 or any future product candidates. </w:t>
      </w:r>
    </w:p>
    <w:p>
      <w:pPr>
        <w:pStyle w:val="TextBody"/>
        <w:bidi w:val="0"/>
        <w:spacing w:before="240" w:after="0"/>
        <w:jc w:val="both"/>
        <w:rPr>
          <w:rFonts w:ascii="Times New Roman" w:hAnsi="Times New Roman"/>
          <w:sz w:val="20"/>
        </w:rPr>
      </w:pPr>
      <w:r>
        <w:rPr>
          <w:rFonts w:ascii="Times New Roman" w:hAnsi="Times New Roman"/>
          <w:sz w:val="20"/>
        </w:rPr>
        <w:t xml:space="preserve">Various regulatory programs in the United States, such as Breakthrough Therapy Designation, Fast Track Designation or Priority Review Designation, are designed to expedite the development and review of therapies to treat certain diseases. We may seek such designations, and comparable designations by foreign regulatory authorities, for one or more of our product candidates for the treatment of certain indications. However, regulatory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authorities have broad discretion whether or not to grant such designations, and the receipt of such designations may not result in faster development, review or approval and does not guarantee regulatory approval. </w:t>
      </w:r>
    </w:p>
    <w:p>
      <w:pPr>
        <w:pStyle w:val="TextBody"/>
        <w:bidi w:val="0"/>
        <w:spacing w:before="240" w:after="0"/>
        <w:jc w:val="both"/>
        <w:rPr>
          <w:rFonts w:ascii="Times New Roman" w:hAnsi="Times New Roman"/>
          <w:sz w:val="20"/>
        </w:rPr>
      </w:pPr>
      <w:r>
        <w:rPr>
          <w:rFonts w:ascii="Times New Roman" w:hAnsi="Times New Roman"/>
          <w:sz w:val="20"/>
        </w:rPr>
        <w:t xml:space="preserve">In addition, the approval policies or regulations of the FDA and other comparable regulatory authorities in other jurisdictions may change in a manner rendering our clinical data insufficient for approval. Any delay or failure in obtaining required approvals could have a material and adverse effect on our ability to generate revenues from the particular product candidate for which we are seeking approval. Furthermore, any regulatory approval to market a product may be subject to limitations on the approved uses for which we may market the product or on the labeling or other restrictions. </w:t>
      </w:r>
    </w:p>
    <w:p>
      <w:pPr>
        <w:pStyle w:val="TextBody"/>
        <w:bidi w:val="0"/>
        <w:spacing w:before="240" w:after="0"/>
        <w:jc w:val="both"/>
        <w:rPr>
          <w:rFonts w:ascii="Times New Roman" w:hAnsi="Times New Roman"/>
          <w:sz w:val="20"/>
        </w:rPr>
      </w:pPr>
      <w:r>
        <w:rPr>
          <w:rFonts w:ascii="Times New Roman" w:hAnsi="Times New Roman"/>
          <w:sz w:val="20"/>
        </w:rPr>
        <w:t xml:space="preserve">We are also subject to or may in the future become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the FDA approval process described above, as well as risks attributable to the satisfaction of local regulations in foreign jurisdictions. Moreover, the time required to obtain approval may differ from that required to obtain FDA approval. FDA approval does not ensure approval by regulatory authorities outside the United States and vice versa. Any delay or failure to obtain United States or foreign regulatory approval for a product candidate could have a material and adverse effect on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If there are delays in obtaining, or we are not able to obtain, required regulatory approvals in the United States or in foreign jurisdictions, we will not be able to commercialize our product candidates, and our ability to generate revenue will be materially impaired. </w:t>
      </w:r>
    </w:p>
    <w:p>
      <w:pPr>
        <w:pStyle w:val="TextBody"/>
        <w:bidi w:val="0"/>
        <w:spacing w:before="120" w:after="0"/>
        <w:jc w:val="both"/>
        <w:rPr>
          <w:rFonts w:ascii="Times New Roman" w:hAnsi="Times New Roman"/>
          <w:sz w:val="20"/>
        </w:rPr>
      </w:pPr>
      <w:r>
        <w:rPr>
          <w:rFonts w:ascii="Times New Roman" w:hAnsi="Times New Roman"/>
          <w:sz w:val="20"/>
        </w:rPr>
        <w:t xml:space="preserve">It is possible that none of the product candidates that we develop will obtain the regulatory approvals necessary for us to begin commercializing them. The time required to obtain FDA and other approvals is unpredictable but in general takes years following the commencement of clinical trials, depending on the nature of the product candidate. Any analysis we perform of data from clinical activities is subject to confirmation and interpretation by regulatory authorities, which could delay, limit or prevent regulatory approval. Any delay or failure in obtaining required approvals could have a material adverse effect on our ability to generate revenues from the particular product candidate including, but not limited to, loss of patent term during the approval period. Furthermore, if we, or our partners, do not reach the market with our products before our competitors offer products for the same or similar uses, or if we, or our partners, are not effective in marketing our products, our revenues from product sales, if any, will be reduced. We face intense competition in our development activities. We face competition from many companies in the United States and abroad, including a number of large biopharmaceutical companies, firms specialized in the development and production of antibody fusion proteins and major universities and research institutions. Most of our competitors have substantially greater resources, more extensive experience in conducting nonclinical studies and clinical testing and obtaining regulatory approvals for their products, greater operating experience, greater research and development and marketing capabilities and greater production capabilities than those of ours. These companies might succeed in obtaining regulatory approval for competitive products more rapidly than we can for our products, especially if we experience any delay in obtaining required regulatory approvals. </w:t>
      </w:r>
    </w:p>
    <w:p>
      <w:pPr>
        <w:pStyle w:val="TextBody"/>
        <w:bidi w:val="0"/>
        <w:spacing w:before="360" w:after="0"/>
        <w:jc w:val="both"/>
        <w:rPr>
          <w:rFonts w:ascii="Times New Roman" w:hAnsi="Times New Roman"/>
          <w:b/>
          <w:i/>
          <w:sz w:val="20"/>
        </w:rPr>
      </w:pPr>
      <w:r>
        <w:rPr>
          <w:rFonts w:ascii="Times New Roman" w:hAnsi="Times New Roman"/>
          <w:b/>
          <w:i/>
          <w:sz w:val="20"/>
        </w:rPr>
        <w:t xml:space="preserve">A Breakthrough Therapy Designation by the FDA, even if granted for any of our product candidates, may not lead to a faster development or regulatory review or approval process, and does not increase the likelihood that our product candidates will receive regulatory approval. </w:t>
      </w:r>
    </w:p>
    <w:p>
      <w:pPr>
        <w:pStyle w:val="TextBody"/>
        <w:bidi w:val="0"/>
        <w:spacing w:before="120" w:after="0"/>
        <w:jc w:val="both"/>
        <w:rPr>
          <w:rFonts w:ascii="Times New Roman" w:hAnsi="Times New Roman"/>
          <w:sz w:val="20"/>
        </w:rPr>
      </w:pPr>
      <w:r>
        <w:rPr>
          <w:rFonts w:ascii="Times New Roman" w:hAnsi="Times New Roman"/>
          <w:sz w:val="20"/>
        </w:rPr>
        <w:t xml:space="preserve">We may seek breakthrough designation for some or all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in our case, may demonstrate substantial improvement over existing therapies with respect to one or more clinically significant endpoints, such as substantial treatment effects observed early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clinical development. For product candidates that have been designated as Breakthrough Therapies, interaction and communication between the FDA and the sponsor can help to identify the most efficient path for development. </w:t>
      </w:r>
    </w:p>
    <w:p>
      <w:pPr>
        <w:pStyle w:val="TextBody"/>
        <w:bidi w:val="0"/>
        <w:spacing w:before="240" w:after="0"/>
        <w:jc w:val="both"/>
        <w:rPr>
          <w:rFonts w:ascii="Times New Roman" w:hAnsi="Times New Roman"/>
          <w:sz w:val="20"/>
        </w:rPr>
      </w:pPr>
      <w:r>
        <w:rPr>
          <w:rFonts w:ascii="Times New Roman" w:hAnsi="Times New Roman"/>
          <w:sz w:val="20"/>
        </w:rPr>
        <w:t xml:space="preserve">Designation as a Breakthrough Therapy is within the discretion of the FDA. Accordingly, even if we believe, after completing early clinical trials, that one of our product candidates meets the criteria for designation as a Breakthrough Therapy, the FDA may disagree and instead determine not to make such designation. Even if we receive Breakthrough Therapy Designation for other product candidates or indications in the future, we may not experience a faster development process, review or approval compared to drugs or biologics considered for approval under conventional FDA procedures and such a designation does not assure ultimate approval by the FDA. Even if one or more of our product candidates qualify as a Breakthrough Therapy, the FDA may later decide that such product candidates no longer meet the conditions for qualification. </w:t>
      </w:r>
    </w:p>
    <w:p>
      <w:pPr>
        <w:pStyle w:val="TextBody"/>
        <w:bidi w:val="0"/>
        <w:spacing w:before="360" w:after="0"/>
        <w:jc w:val="both"/>
        <w:rPr>
          <w:rFonts w:ascii="Times New Roman" w:hAnsi="Times New Roman"/>
          <w:b/>
          <w:i/>
          <w:sz w:val="20"/>
        </w:rPr>
      </w:pPr>
      <w:r>
        <w:rPr>
          <w:rFonts w:ascii="Times New Roman" w:hAnsi="Times New Roman"/>
          <w:b/>
          <w:i/>
          <w:sz w:val="20"/>
        </w:rPr>
        <w:t xml:space="preserve">Obtaining and maintaining regulatory approval of our product candidates in one jurisdiction does not mean that we will be successful in obtaining regulatory approval of our product candidates in other jurisdictions. </w:t>
      </w:r>
    </w:p>
    <w:p>
      <w:pPr>
        <w:pStyle w:val="TextBody"/>
        <w:bidi w:val="0"/>
        <w:spacing w:before="120" w:after="0"/>
        <w:jc w:val="both"/>
        <w:rPr>
          <w:rFonts w:ascii="Times New Roman" w:hAnsi="Times New Roman"/>
          <w:sz w:val="20"/>
        </w:rPr>
      </w:pPr>
      <w:r>
        <w:rPr>
          <w:rFonts w:ascii="Times New Roman" w:hAnsi="Times New Roman"/>
          <w:sz w:val="20"/>
        </w:rPr>
        <w:t xml:space="preserve">Obtaining and maintaining regulatory approval of our product candidates in one jurisdiction does not guarantee that we will be able to obtain or maintain regulatory approval in any other jurisdiction. For example, even if the FDA or European Medicines Agency (EMA) grants regulatory approval of a product candidate, comparable regulatory authorities in foreign jurisdictions must also approve the manufacturing, marketing and promotion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Obtaining foreign regulatory approvals and compliance with foreign regulatory requirements could result in significant delays, difficulties and costs for us and could delay or prevent the introduction of our products in certain countries. If we or any partner we work with fail to comply with the regulatory requirements in international markets or fail to receive applicable regulatory approvals, our target market will be reduced and our ability to realize the full market potential of our product candidates will be harmed. </w:t>
      </w:r>
    </w:p>
    <w:p>
      <w:pPr>
        <w:pStyle w:val="TextBody"/>
        <w:bidi w:val="0"/>
        <w:spacing w:before="360" w:after="0"/>
        <w:jc w:val="both"/>
        <w:rPr>
          <w:rFonts w:ascii="Times New Roman" w:hAnsi="Times New Roman"/>
          <w:b/>
          <w:i/>
          <w:sz w:val="20"/>
        </w:rPr>
      </w:pPr>
      <w:r>
        <w:rPr>
          <w:rFonts w:ascii="Times New Roman" w:hAnsi="Times New Roman"/>
          <w:b/>
          <w:i/>
          <w:sz w:val="20"/>
        </w:rPr>
        <w:t xml:space="preserve">Even if we receive regulatory approval for ATTO-1310, ATTO-2306, ATTO-1091 and any future product candidates, we will be subject to ongoing regulatory obligations and continued regulatory review, which may result in significant additional expense. Additionally, ATTO-1310, ATTO-2306, ATTO-1091 and any future product candidates, if approved, could be subject to labeling and other restrictions and market withdrawal. We may also be subject to penalties if we fail to comply with regulatory requirements or experience unanticipated problems with our products. </w:t>
      </w:r>
    </w:p>
    <w:p>
      <w:pPr>
        <w:pStyle w:val="TextBody"/>
        <w:bidi w:val="0"/>
        <w:spacing w:before="120" w:after="0"/>
        <w:jc w:val="both"/>
        <w:rPr>
          <w:rFonts w:ascii="Times New Roman" w:hAnsi="Times New Roman"/>
          <w:sz w:val="20"/>
        </w:rPr>
      </w:pPr>
      <w:r>
        <w:rPr>
          <w:rFonts w:ascii="Times New Roman" w:hAnsi="Times New Roman"/>
          <w:sz w:val="20"/>
        </w:rPr>
        <w:t xml:space="preserve">Any regulatory approvals that we obtain for ATTO-1310, ATTO-2306, ATTO-1091 or any of our future product candidates may also be subject to limitations on the approved indicated uses for which a product may be marketed or to the conditions of approval, or contain requirements for potentially costly post-marketing testing and surveillance to monitor the safety and efficacy of the product candidate. In addition, if the FDA or other comparable foreign regulatory authorities approve any of our future product candidates, the manufacturing processes, labeling, packaging, distribution, post-approval monitoring and adverse event reporting, storage, import, export, advertising, promotion and recordkeeping for the product will be subject to extensive and ongoing regulatory requirements.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after approval, which may impose further requirements or restrictions on the distribution or use of an approved drug. The manufacturing facilities we use to make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product candidates, if any, will also be subject to periodic review and inspection by the FDA or other comparable foreign regulatory authorities, including for continued compliance with cGMP requirements. The discovery of any new or previously unknown problems with our CMOs, manufacturing processes or facilities may result in restrictions on the product, manufacturer or facility, including withdrawal of the product from the market. If we rely on CMOs, we will not have control over compliance with applicable rules and regulations by such manufacturers. </w:t>
      </w:r>
    </w:p>
    <w:p>
      <w:pPr>
        <w:pStyle w:val="TextBody"/>
        <w:bidi w:val="0"/>
        <w:spacing w:before="240" w:after="0"/>
        <w:jc w:val="both"/>
        <w:rPr>
          <w:rFonts w:ascii="Times New Roman" w:hAnsi="Times New Roman"/>
          <w:sz w:val="20"/>
        </w:rPr>
      </w:pPr>
      <w:r>
        <w:rPr>
          <w:rFonts w:ascii="Times New Roman" w:hAnsi="Times New Roman"/>
          <w:sz w:val="20"/>
        </w:rPr>
        <w:t xml:space="preserve">Moreover, any product promotion and advertising will also be subject to regulatory requirements and continuing regulatory review. The FDA imposes stringent restrictions on manufacturers’ communications regarding use of their products. If we promote ATTO-1310, ATTO-2306, ATTO-1091 or any of our future product candidates in a manner inconsistent with FDA-approved labeling or otherwise not in compliance with FDA regulations, we may be subject to enforcement action. Moreover, while we believe that ATTO-1310, ATTO-2306, ATTO-1091 or any future product candidates may provide better safety or effectiveness as compared to approved products, if we do not study ATTO-1310, ATTO-2306, ATTO-1091 or any future product candidates in head-to-head trials with those products, we will not be able to make comparative claims for our products, if approved. </w:t>
      </w:r>
    </w:p>
    <w:p>
      <w:pPr>
        <w:pStyle w:val="TextBody"/>
        <w:bidi w:val="0"/>
        <w:spacing w:before="240" w:after="0"/>
        <w:jc w:val="both"/>
        <w:rPr>
          <w:rFonts w:ascii="Times New Roman" w:hAnsi="Times New Roman"/>
          <w:sz w:val="20"/>
        </w:rPr>
      </w:pPr>
      <w:r>
        <w:rPr>
          <w:rFonts w:ascii="Times New Roman" w:hAnsi="Times New Roman"/>
          <w:sz w:val="20"/>
        </w:rPr>
        <w:t xml:space="preserve">If we or our manufacturers or service providers fail to comply with applicable continuing regulatory requirements in the United States or foreign jurisdictions in which we seek to market our products, we or they may be subject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Form 483s, restrictions on the manufacturing of the product, product recalls or withdrawal of the product from the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warning or untitled letters or holds on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refusal of the FDA or comparable foreign regulatory authorities to accept new marketing applications or approve pending applications or supplements to approved applications, or suspension or revocation of product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product seizure or detention, or refusal to permit the import or export of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consent decrees, corporate integrity agreements, debarment or exclusion from federal healthcare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mandated modification of promotional materials and labeling and the issuance of corrective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issuance of safety alerts, Dear Healthcare Provider letters, press releases and other communications containing warnings or other safety information about the product;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injunctions or the imposition of fines or civil or criminal penalties.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Any government investigation of alleged violations of law could require us to expend significant time and resources in response and could generate adverse publicity. Any failure to comply with ongoing regulatory requirements may significantly and adversely affect our ability to commercialize and generate revenue from our products, if approved. If regulatory sanctions are applied or if regulatory approval is withdrawn, the value of our company and our operating results will be adversely affected. </w:t>
      </w:r>
    </w:p>
    <w:p>
      <w:pPr>
        <w:pStyle w:val="TextBody"/>
        <w:bidi w:val="0"/>
        <w:spacing w:before="240" w:after="0"/>
        <w:jc w:val="both"/>
        <w:rPr>
          <w:rFonts w:ascii="Times New Roman" w:hAnsi="Times New Roman"/>
          <w:sz w:val="20"/>
        </w:rPr>
      </w:pPr>
      <w:r>
        <w:rPr>
          <w:rFonts w:ascii="Times New Roman" w:hAnsi="Times New Roman"/>
          <w:sz w:val="20"/>
        </w:rPr>
        <w:t xml:space="preserve">Subsequent discovery of previously unknown problems with a product, including adverse events of unanticipated severity or frequency, or with our CMOs or manufacturing processes, or failure to comply with regulatory requirements, may result in, these same consequences.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programs for which we intend to seek approval as biologics may face competition sooner than anticipated. </w:t>
      </w:r>
    </w:p>
    <w:p>
      <w:pPr>
        <w:pStyle w:val="TextBody"/>
        <w:bidi w:val="0"/>
        <w:spacing w:before="120" w:after="0"/>
        <w:jc w:val="both"/>
        <w:rPr>
          <w:rFonts w:ascii="Times New Roman" w:hAnsi="Times New Roman"/>
          <w:sz w:val="20"/>
        </w:rPr>
      </w:pPr>
      <w:r>
        <w:rPr>
          <w:rFonts w:ascii="Times New Roman" w:hAnsi="Times New Roman"/>
          <w:sz w:val="20"/>
        </w:rPr>
        <w:t xml:space="preserve">The Patient Protection and Affordable Care Act (ACA), as amended by the Health Care and Education Reconciliation Act, includes a subtitle called the Biologics Price Competition and Innovation Act of 2009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(BPCIA), which created an abbreviated approval pathway for biological products that are biosimilar to or interchangeable with an FDA-licensed reference biological product. Biosimilars are biological products approved under section 351(k) of the Public Health Service Act (PHS Act) relying on the FDA’s findings of safety, purity, and potency for a licensed biologic (Reference Product) submitted pursuant to section 351(k) of the PHS Act. A biosimilar is highly similar to its Reference Product, excluding minor differences in clinically inactive components for which there are no clinically meaningful differences between the proposed biological product and the Reference Product in safety, purity, or potency. Certain biosimilars may be substituted for the Reference Product in accordance with state law. Under the BPCIA, an application for a biosimilar product relying on the Reference Product may not be submitted to the FDA until four years following the date that the Reference Product was first approved by the FDA. In addition, the approval of a biosimilar product relying on the Reference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w:t>
      </w:r>
    </w:p>
    <w:p>
      <w:pPr>
        <w:pStyle w:val="TextBody"/>
        <w:bidi w:val="0"/>
        <w:spacing w:before="240" w:after="0"/>
        <w:jc w:val="both"/>
        <w:rPr>
          <w:rFonts w:ascii="Times New Roman" w:hAnsi="Times New Roman"/>
          <w:sz w:val="20"/>
        </w:rPr>
      </w:pPr>
      <w:r>
        <w:rPr>
          <w:rFonts w:ascii="Times New Roman" w:hAnsi="Times New Roman"/>
          <w:sz w:val="20"/>
        </w:rPr>
        <w:t xml:space="preserve">We believe that any of our programs approved as biologics under a BLA should qualify for the 12-year period of exclusivity. However, there is a risk that this exclusivity could be shortened due to congressional action or otherwise, or that the FDA will not consider our programs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Reference Product in a way that is similar to traditional generic substitution for non-biological products is not yet clear, and will depend on a number of marketplace and regulatory factors that are still developing. </w:t>
      </w:r>
    </w:p>
    <w:p>
      <w:pPr>
        <w:pStyle w:val="TextBody"/>
        <w:bidi w:val="0"/>
        <w:spacing w:before="360" w:after="0"/>
        <w:jc w:val="both"/>
        <w:rPr>
          <w:rFonts w:ascii="Times New Roman" w:hAnsi="Times New Roman"/>
          <w:b/>
          <w:i/>
          <w:sz w:val="20"/>
        </w:rPr>
      </w:pPr>
      <w:r>
        <w:rPr>
          <w:rFonts w:ascii="Times New Roman" w:hAnsi="Times New Roman"/>
          <w:b/>
          <w:i/>
          <w:sz w:val="20"/>
        </w:rPr>
        <w:t xml:space="preserve">The policies of the FDA or other regulatory authorities may change, and additional government regulations may be enacted that could prevent, limit or delay regulatory approval of any of ATTO-1310, ATTO-2306, ATTO-1091 or our future product candidates. </w:t>
      </w:r>
    </w:p>
    <w:p>
      <w:pPr>
        <w:pStyle w:val="TextBody"/>
        <w:bidi w:val="0"/>
        <w:spacing w:before="120" w:after="0"/>
        <w:jc w:val="both"/>
        <w:rPr>
          <w:rFonts w:ascii="Times New Roman" w:hAnsi="Times New Roman"/>
          <w:sz w:val="20"/>
        </w:rPr>
      </w:pPr>
      <w:r>
        <w:rPr>
          <w:rFonts w:ascii="Times New Roman" w:hAnsi="Times New Roman"/>
          <w:sz w:val="20"/>
        </w:rPr>
        <w:t xml:space="preserve">If we are slow or unable to adapt to changes in existing requirements or the adoption of new requirements or policies, or if we are not able to maintain regulatory compliance, we may lose any regulatory approval that we may have obtained and we may not achieve or sustain profitability, which would adversely affect our business. We also cannot predict the likelihood, nature or extent of government regulation that may arise from future legislation or administrative or executive action, either in the United States or abroad. </w:t>
      </w:r>
    </w:p>
    <w:p>
      <w:pPr>
        <w:pStyle w:val="TextBody"/>
        <w:bidi w:val="0"/>
        <w:spacing w:before="240" w:after="0"/>
        <w:jc w:val="both"/>
        <w:rPr>
          <w:rFonts w:ascii="Times New Roman" w:hAnsi="Times New Roman"/>
          <w:sz w:val="20"/>
        </w:rPr>
      </w:pPr>
      <w:r>
        <w:rPr>
          <w:rFonts w:ascii="Times New Roman" w:hAnsi="Times New Roman"/>
          <w:sz w:val="20"/>
        </w:rPr>
        <w:t xml:space="preserve">In addition, three decisions from the U.S. Supreme Court in July 2024 may lead to an increase in litigation against regulatory agencies that could create uncertainty and thus negatively impact our business. The first decision overturned established precedent that required courts to defer to regulatory agencies’ interpretations of ambiguous statutory language. The second decision overturned regulatory agencies’ ability to impose civil penalties in administrative proceedings. The third decision extended the statute of limitations within which entities may challenge agency actions. These cases may result in increased litigation by industry against regulatory agencies and impact how such agencies choose to pursue enforcement and compliance actions. However, the specific, lasting effects of these decisions, which may vary within different judicial districts and circuits, are unknown. We also cannot predict the extent to which regulations, policies, and decisions of the FDA or other regulatory authorities, such as the SEC, may become subject to increasing legal challenges, delays, and changes.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 xml:space="preserve">Disruptions at the FDA and other government agencies caused by, among other factors, funding shortages or global health concerns could hinder their ability to hire and retain key leadership and other personnel, slow the time necessary for new products to be reviewed and/or approved, or otherwise prevent those agencies from performing normal business functions on which the operation of our business may rely, which would adversely affect our business. In addition, there is substantial uncertainty regarding new initiatives and how these might impact the FDA, its implementation of laws, regulations, policies and guidance and its personnel. Similar initiatives may also be directed toward other government agencies. These initiatives could prevent, limit or delay development and regulatory approval of our product candidates, which would adversely affect our business. </w:t>
      </w:r>
    </w:p>
    <w:p>
      <w:pPr>
        <w:pStyle w:val="TextBody"/>
        <w:bidi w:val="0"/>
        <w:spacing w:before="120" w:after="0"/>
        <w:jc w:val="both"/>
        <w:rPr>
          <w:rFonts w:ascii="Times New Roman" w:hAnsi="Times New Roman"/>
          <w:sz w:val="20"/>
        </w:rPr>
      </w:pPr>
      <w:r>
        <w:rPr>
          <w:rFonts w:ascii="Times New Roman" w:hAnsi="Times New Roman"/>
          <w:sz w:val="20"/>
        </w:rPr>
        <w:t xml:space="preserve">The ability of the FDA to review and approve new products can be affected by a variety of factors, including government budget and funding levels, government shutdowns, statutory, regulatory, and policy changes, the FDA’s ability to hire and retain key personnel and accept the payment of user fees, and other events that may otherwise affect the FDA’s ability to perform routine functions. In addition, government funding of other government agencies on which our operations may rely, including those that fund research and development activities, is subject to the political process, which is inherently fluid and unpredictable. </w:t>
      </w:r>
    </w:p>
    <w:p>
      <w:pPr>
        <w:pStyle w:val="TextBody"/>
        <w:bidi w:val="0"/>
        <w:spacing w:before="240" w:after="0"/>
        <w:jc w:val="both"/>
        <w:rPr>
          <w:rFonts w:ascii="Times New Roman" w:hAnsi="Times New Roman"/>
          <w:sz w:val="20"/>
        </w:rPr>
      </w:pPr>
      <w:r>
        <w:rPr>
          <w:rFonts w:ascii="Times New Roman" w:hAnsi="Times New Roman"/>
          <w:sz w:val="20"/>
        </w:rPr>
        <w:t xml:space="preserve">Disruptions at the FDA may slow the time necessary for new products to be reviewed and/or approved, which would adversely affect our business. For example, starting in January 2025, the U.S. government has reduced the number of federal employees, including at FDA, by establishing voluntary termination programs, by position eliminations or by involuntary terminations. Changes in FDA staffing could result in delays in the FDA’s responsiveness or in its ability to review submissions or applications, issue regulations or guidance, or implement or enforce regulatory requirements in a timely fashion or at all. </w:t>
      </w:r>
    </w:p>
    <w:p>
      <w:pPr>
        <w:pStyle w:val="TextBody"/>
        <w:bidi w:val="0"/>
        <w:spacing w:before="240" w:after="0"/>
        <w:jc w:val="both"/>
        <w:rPr>
          <w:rFonts w:ascii="Times New Roman" w:hAnsi="Times New Roman"/>
          <w:sz w:val="20"/>
        </w:rPr>
      </w:pPr>
      <w:r>
        <w:rPr>
          <w:rFonts w:ascii="Times New Roman" w:hAnsi="Times New Roman"/>
          <w:sz w:val="20"/>
        </w:rPr>
        <w:t xml:space="preserve">Similar consequences would also result in the event of a significant shutdown of the federal government. For example, over the last several years, and most recently in late 2025, the U.S. government has shut down several times, and certain regulatory agencies, such as the FDA, had to furlough critical employees and stop critical activities. If a prolonged government shutdown occurs, or if geopolitical or global health concerns prevent the FDA from conducting their regular inspections, reviews, or other regulatory activities, or if the volume of applications to the FDA for new product candidates increases materially,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 If any legislation, executive orders, or lapses in agency funding impose constraints on the FDA’s ability to engage in oversight and implementation activities in the normal course, our business may be negatively impacted. </w:t>
      </w:r>
    </w:p>
    <w:p>
      <w:pPr>
        <w:pStyle w:val="TextBody"/>
        <w:bidi w:val="0"/>
        <w:spacing w:before="240" w:after="0"/>
        <w:jc w:val="both"/>
        <w:rPr>
          <w:rFonts w:ascii="Times New Roman" w:hAnsi="Times New Roman"/>
          <w:sz w:val="20"/>
        </w:rPr>
      </w:pPr>
      <w:r>
        <w:rPr>
          <w:rFonts w:ascii="Times New Roman" w:hAnsi="Times New Roman"/>
          <w:sz w:val="20"/>
        </w:rPr>
        <w:t xml:space="preserve">FDA-regulated industries, such as ours, face uncertainty with regard to the regulatory environment we will face as we proceed with research and development, and possibly in the future commercialization. Some of these efforts have manifested to date in the form of personnel measures that could impact the FDA’s ability to hire and retain key personnel, which could result in delays or limitations on our ability to obtain guidance from the FDA on our product candidates in development and obtain the requisite regulatory approvals in the future. Moreover, the U.S. government paused payments by, reduced the budget of, and terminated grants provided by the National Institutes of Health (NIH) related to its funding for medical research, which has decreased, and may continue to decrease, the ability of facilities that rely on NIH funding to enroll and conduct clinical trials or increase the costs to us of conducting clinical trials. Some of these actions have been challenged in court and there remains general uncertainty regarding future activities. New executive orders, regulations, policies or guidance could be issued or promulgated that adversely affects us or creates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become negatively impacted by future governmental orders, regulations, policies or guidance, there could be a material adverse effect on us and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 xml:space="preserve">If we are found to have improperly promoted off-label use of our products, we may become subject to significant liability. </w:t>
      </w:r>
    </w:p>
    <w:p>
      <w:pPr>
        <w:pStyle w:val="TextBody"/>
        <w:bidi w:val="0"/>
        <w:spacing w:before="120" w:after="0"/>
        <w:jc w:val="both"/>
        <w:rPr>
          <w:rFonts w:ascii="Times New Roman" w:hAnsi="Times New Roman"/>
          <w:sz w:val="20"/>
        </w:rPr>
      </w:pPr>
      <w:r>
        <w:rPr>
          <w:rFonts w:ascii="Times New Roman" w:hAnsi="Times New Roman"/>
          <w:sz w:val="20"/>
        </w:rPr>
        <w:t xml:space="preserve">The FDA, the EMA and comparable regulatory authorities in other jurisdictions strictly regulate the promotional claims that may be made about prescription drug products, such as our products. While physicians, in the practice of medicine, may prescribe approved drugs for unapproved indications, a product may not be promoted for uses that are not approved by the applicable regulatory authority as reflected in the product’s approved labeling or for uses inconsistent with the product’s approved labeling. If our promotional materials and related activities are not consistent with the approved labeling or if physicians, in their professional medical judgment, nevertheless prescribe the drug product to their patients in a manner that is inconsistent with the approved labeling, we may be subject to claims that we promoted off-label use or otherwise violated applicable regulations. In addition, although we may believe ATTO-1310, ATTO-2306, ATTO-1091 or our future product candidates may provide for superior efficacy as compared to marketed products, without head-to-head data, we will be unable to make comparative claims for our products. If we are found to have promoted such off-label use or made such unsubstantiated comparative claims, we may become subject to significant liability under the Federal Food, Drug, and Cosmetic Act and other statutory authorities, such as laws prohibiting false claims for reimbursement.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operations and relationships with healthcare providers, healthcare organizations, customers and third-party payors will be subject to applicable anti-bribery, anti-kickback, fraud and abuse, transparency and other healthcare laws and regulations, which could expose us to, among other things, enforcement actions, criminal sanctions, civil penalties, contractual damages, reputational harm, administrative burdens and diminished profits and future earnings. </w:t>
      </w:r>
    </w:p>
    <w:p>
      <w:pPr>
        <w:pStyle w:val="TextBody"/>
        <w:bidi w:val="0"/>
        <w:spacing w:before="120" w:after="0"/>
        <w:jc w:val="both"/>
        <w:rPr>
          <w:rFonts w:ascii="Times New Roman" w:hAnsi="Times New Roman"/>
          <w:sz w:val="20"/>
        </w:rPr>
      </w:pPr>
      <w:r>
        <w:rPr>
          <w:rFonts w:ascii="Times New Roman" w:hAnsi="Times New Roman"/>
          <w:sz w:val="20"/>
        </w:rPr>
        <w:t xml:space="preserve">Our current and future arrangements with healthcare providers, healthcare organizations, third-party payors and customers expose us to broadly applicable anti-bribery, fraud and abuse and other healthcare laws and regulations that may constrain the business or financial arrangements and relationships through which we research, market, sell and distribute any of our product candidates, if approved. Restrictions under applicable federal and state anti-bribery and healthcare laws and regulations,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federal Anti-Kickback Statute, which prohibits, among other things, individuals and entities from knowingly and willfully soliciting, receiving, offering, or providing remuneration, directly or indirectly, in cash or in kind, to induce or reward, or in return for, either the referral of an individual, or the purchase, order or recommendation of, any good or service for which payment may be made under a federal and state healthcare program such as Medicare and Medicaid. The term remuneration has been broadly interpreted to include anything of value.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federal criminal and civil false claims and civil monetary penalties laws, including the federal False Claims Act, which can be enforced through civil whistleblower or qui tam actions against individuals or entities, and the Federal Civil Monetary Penalties Law, which prohibit, among other things,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certain marketing practices, including off-label promotion, may also violate false claims laws. Moreover, the government may assert that a claim including items and services resulting from a violation of the federal Anti-Kickback Statute constitutes a false or fraudulent claim for purposes of the federal False Claims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HIPAA and its implementing regulations, which imposes criminal and civil liability, prohibits,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healthcare benefits, items or services; similar to the federal Anti-Kickback Statute,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HIPAA, as amended by the Health Information Technology for Economic and Clinical Health Act (HITECH), and their respective implementing regulations, which impose obligations on certain healthcare providers, health plans, and healthcare clearinghouses, known as covered entities, as well as their business associates and covered subcontractors that perform certain services involving the storage, use or disclosure of individually identifiable health information for or on behalf of a covered entity and their business associates,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federal Physician Payments Sunshine Act, which requires certain manufacturers of covered drugs, devices, biologics and medical supplies that are reimbursable under Medicare, Medicaid, or the Children’s Health Insurance Program, with certain exceptions, to report annually to the Centers for Medicare &amp; Medicaid Services (CMS) information related to certain payments and other transfers of value to physicians (defined to include doctors, dentists, optometrists, podiatrists and chiropractors), certain other health care professionals (such as physician assistants and certain advanced practice nurses), and teaching hospitals, as well as ownership and investment interests held by the physicians described above and their immediate family members, with the information made publicly available on a searchable website;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Foreign Corrupt Practices Act (FCPA), which prohibits U.S. businesses and their representatives from directly or indirectly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analogous state and foreign laws and regulations, such as state anti-kickback and false claims laws, that may apply to sales or marketing arrangements and claims involving healthcare items or services reimbursed by non-governmental third-party payors, including private insurers;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certain state laws that require biopharmaceutical companies to obtain regulatory licenses to manufacture or distribute products commercially, comply with the biopharmaceutical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 information, and state and local laws that require the registration of biopharmaceutical sales representatives;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state and non-U.S. laws governing the privacy and security of health information in some circumstances, many of which differ from each other in significant ways and often are not preempted by HIPAA, thus complicating compliance efforts. </w:t>
            </w:r>
          </w:p>
        </w:tc>
      </w:tr>
    </w:tbl>
    <w:p>
      <w:pPr>
        <w:pStyle w:val="TextBody"/>
        <w:bidi w:val="0"/>
        <w:spacing w:before="240" w:after="0"/>
        <w:jc w:val="both"/>
        <w:rPr>
          <w:rFonts w:ascii="Times New Roman" w:hAnsi="Times New Roman"/>
          <w:sz w:val="20"/>
        </w:rPr>
      </w:pPr>
      <w:r>
        <w:rPr>
          <w:rFonts w:ascii="Times New Roman" w:hAnsi="Times New Roman"/>
          <w:sz w:val="20"/>
        </w:rPr>
        <w:t xml:space="preserve">Efforts to ensure that our current and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significant penalties, including civil, criminal and administrative penalties, damages, fines, disgorgement, imprisonment, the curtailment or restructuring of our operations, loss of eligibility to obtain approvals from the FDA, exclusion from participation in government contracting, healthcare reimbursement or other government programs, including Medicare and Medicaid, integrity oversight and reporting obligations, or reputational harm, any of which could adversely affect our financial results. These risks cannot be entirely eliminated. Any action against us for an alleged or suspected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face difficulties from healthcare legislative and regulatory reform measures. </w:t>
      </w:r>
    </w:p>
    <w:p>
      <w:pPr>
        <w:pStyle w:val="TextBody"/>
        <w:bidi w:val="0"/>
        <w:spacing w:before="120" w:after="0"/>
        <w:jc w:val="both"/>
        <w:rPr>
          <w:rFonts w:ascii="Times New Roman" w:hAnsi="Times New Roman"/>
          <w:sz w:val="20"/>
        </w:rPr>
      </w:pPr>
      <w:r>
        <w:rPr>
          <w:rFonts w:ascii="Times New Roman" w:hAnsi="Times New Roman"/>
          <w:sz w:val="20"/>
        </w:rPr>
        <w:t xml:space="preserve">Existing laws and regulatory policies may change and additional government regulations may be enacted that could prevent, limit or delay regulatory approval of ATTO-1310, ATTO-2306, ATTO-1091 or any of our future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regulatory approval that we may have obtained, or may face penalties for any approved products, and we may not achieve or sustain profitability. </w:t>
      </w:r>
    </w:p>
    <w:p>
      <w:pPr>
        <w:pStyle w:val="TextBody"/>
        <w:bidi w:val="0"/>
        <w:spacing w:before="240" w:after="0"/>
        <w:jc w:val="both"/>
        <w:rPr>
          <w:rFonts w:ascii="Times New Roman" w:hAnsi="Times New Roman"/>
          <w:sz w:val="20"/>
        </w:rPr>
      </w:pPr>
      <w:r>
        <w:rPr>
          <w:rFonts w:ascii="Times New Roman" w:hAnsi="Times New Roman"/>
          <w:sz w:val="20"/>
        </w:rPr>
        <w:t xml:space="preserve">In the United States and some foreign jurisdictions, there have been and we expect there will continue to be, a number of legislative and regulatory changes to the healthcare system, including cost 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care. </w:t>
      </w:r>
    </w:p>
    <w:p>
      <w:pPr>
        <w:pStyle w:val="TextBody"/>
        <w:bidi w:val="0"/>
        <w:spacing w:before="240" w:after="0"/>
        <w:jc w:val="both"/>
        <w:rPr>
          <w:rFonts w:ascii="Times New Roman" w:hAnsi="Times New Roman"/>
          <w:sz w:val="20"/>
        </w:rPr>
      </w:pPr>
      <w:r>
        <w:rPr>
          <w:rFonts w:ascii="Times New Roman" w:hAnsi="Times New Roman"/>
          <w:sz w:val="20"/>
        </w:rPr>
        <w:t xml:space="preserve">For example, the Patient Protection and Affordable Care Act, as amended by the Health Care and Education Reconciliation Act of 2010 (collectively, the ACA) made significant changes to the healthcare system, including an increase to manufacturers’ rebate liability under the Medicaid Drug Rebate Program, imposition of a significant annual fee on companies that manufacture or import branded prescription drug products and a requirement for manufacturers to provide a discount off the negotiated price of prescriptions filled by Medicare Part D enrollees. In addition, on July 4, 2025, the OBBBA was signed into law that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among other things, implementing work requirements for most beneficiaries, capping state-directed payments, reducing federal funding and limiting provider taxes used to fund the program. Congress is also considering proposed legislation intended to further reduce healthcare costs with alternatives to replace the expired ACA subsidies. </w:t>
      </w:r>
    </w:p>
    <w:p>
      <w:pPr>
        <w:pStyle w:val="TextBody"/>
        <w:bidi w:val="0"/>
        <w:spacing w:before="240" w:after="0"/>
        <w:jc w:val="both"/>
        <w:rPr>
          <w:rFonts w:ascii="Times New Roman" w:hAnsi="Times New Roman"/>
          <w:sz w:val="20"/>
        </w:rPr>
      </w:pPr>
      <w:r>
        <w:rPr>
          <w:rFonts w:ascii="Times New Roman" w:hAnsi="Times New Roman"/>
          <w:sz w:val="20"/>
        </w:rPr>
        <w:t xml:space="preserve">There has been heightened governmental scrutiny over the manner in which manufacturers set prices for their marketed products, which has resulted in several presidential executive orders, Congressional inquiries, proposed regulations, and proposed and enacted federal and state legislation designed to, among other things, bring more transparency to product pricing, reduce the costs of drugs under Medicare, and reform government program reimbursement methodologies for drug products. For example, the current administration has announced agreements with several pharmaceutical companies that require the drug manufacturers to offer, through a direct to consumer platform (TrumpRx) U.S. patients and Medicaid programs prescription drug Most-Favored Nation (MFN) pricing equal to or lower than those paid in other developed nations, with additional mandates for direct-to-patient discounts and repatriation of foreign revenues. Other examples include: (1) proposed regulations to reduce Medicare payments of single-source drugs and biologics to prices paid in other developed countries; (2) imposing tariffs on certain imported pharmaceutical products; and (3) as part of the Make America Healthy Again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MFN pricing, lower government subsidies to private insurance companies, increase healthcare price transparency, expand drugs available for over-the-counter purchase, and enact restrictions on pharmacy benefit manager (PBM) payment methodologies, among others. These actions and policies may significantly reduce U.S. drug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prices, potentially impacting manufacturers’ global pricing strategies and profitability, while increasing their operational costs and compliance risks. Further,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w:t>
      </w:r>
    </w:p>
    <w:p>
      <w:pPr>
        <w:pStyle w:val="TextBody"/>
        <w:bidi w:val="0"/>
        <w:spacing w:before="240" w:after="0"/>
        <w:jc w:val="both"/>
        <w:rPr>
          <w:rFonts w:ascii="Times New Roman" w:hAnsi="Times New Roman"/>
          <w:sz w:val="20"/>
        </w:rPr>
      </w:pPr>
      <w:r>
        <w:rPr>
          <w:rFonts w:ascii="Times New Roman" w:hAnsi="Times New Roman"/>
          <w:sz w:val="20"/>
        </w:rPr>
        <w:t xml:space="preserve">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Additionally, in its June 2024 decision in Loper Bright Enterprises v. Raimondo,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w:t>
      </w:r>
    </w:p>
    <w:p>
      <w:pPr>
        <w:pStyle w:val="TextBody"/>
        <w:bidi w:val="0"/>
        <w:spacing w:before="240" w:after="0"/>
        <w:jc w:val="both"/>
        <w:rPr>
          <w:rFonts w:ascii="Times New Roman" w:hAnsi="Times New Roman"/>
          <w:sz w:val="20"/>
        </w:rPr>
      </w:pPr>
      <w:r>
        <w:rPr>
          <w:rFonts w:ascii="Times New Roman" w:hAnsi="Times New Roman"/>
          <w:sz w:val="20"/>
        </w:rPr>
        <w:t xml:space="preserve">We expect that additional state and federal healthcare reform measures will be adopted in the future, any of which could limit the amounts that federal and state governments will pay for pharmaceuticals and other healthcare products and services, which could result in reduced demand for ATTO-1310, ATTO-2306, ATTO-1091 or any future product candidates or additional pricing pressures. </w:t>
      </w:r>
    </w:p>
    <w:p>
      <w:pPr>
        <w:pStyle w:val="TextBody"/>
        <w:bidi w:val="0"/>
        <w:spacing w:before="240" w:after="0"/>
        <w:jc w:val="both"/>
        <w:rPr>
          <w:rFonts w:ascii="Times New Roman" w:hAnsi="Times New Roman"/>
          <w:sz w:val="20"/>
        </w:rPr>
      </w:pPr>
      <w:r>
        <w:rPr>
          <w:rFonts w:ascii="Times New Roman" w:hAnsi="Times New Roman"/>
          <w:sz w:val="20"/>
        </w:rPr>
        <w:t xml:space="preserve">The implementation of cost containment measures or other healthcare reforms may prevent us from being able to generate revenue, attain profitability, or commercialize our products, if approved. </w:t>
      </w:r>
    </w:p>
    <w:p>
      <w:pPr>
        <w:pStyle w:val="TextBody"/>
        <w:bidi w:val="0"/>
        <w:spacing w:before="360" w:after="0"/>
        <w:jc w:val="both"/>
        <w:rPr>
          <w:rFonts w:ascii="Times New Roman" w:hAnsi="Times New Roman"/>
          <w:b/>
          <w:i/>
          <w:sz w:val="20"/>
        </w:rPr>
      </w:pPr>
      <w:r>
        <w:rPr>
          <w:rFonts w:ascii="Times New Roman" w:hAnsi="Times New Roman"/>
          <w:b/>
          <w:i/>
          <w:sz w:val="20"/>
        </w:rPr>
        <w:t xml:space="preserve">Even if we are able to commercialize ATTO-1310, ATTO-2306, ATTO-1091 and any future product candidates, if approved, such product candidate may become subject to unfavorable pricing regulations or third-party coverage and reimbursement policies, which would harm our business. </w:t>
      </w:r>
    </w:p>
    <w:p>
      <w:pPr>
        <w:pStyle w:val="TextBody"/>
        <w:bidi w:val="0"/>
        <w:spacing w:before="120" w:after="0"/>
        <w:jc w:val="both"/>
        <w:rPr>
          <w:rFonts w:ascii="Times New Roman" w:hAnsi="Times New Roman"/>
          <w:sz w:val="20"/>
        </w:rPr>
      </w:pPr>
      <w:r>
        <w:rPr>
          <w:rFonts w:ascii="Times New Roman" w:hAnsi="Times New Roman"/>
          <w:sz w:val="20"/>
        </w:rPr>
        <w:t xml:space="preserve">The availability of coverage and the adequacy of reimbursement by governmental healthcare programs, such as Medicare and Medicaid, private health insurers and other third-party payors are essential for most patients to be able to afford prescription medications such as our product candidates, if approved. Sales of any of our product candidates that receive regulatory approval will be dependent substantially, both in the United States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regulatory approval. If coverage and reimbursement are not available or reimbursement is available only to limited levels, we may not successfully commercialize any product candidate for which we obtain regulatory approval. </w:t>
      </w:r>
    </w:p>
    <w:p>
      <w:pPr>
        <w:pStyle w:val="TextBody"/>
        <w:bidi w:val="0"/>
        <w:spacing w:before="240" w:after="0"/>
        <w:jc w:val="both"/>
        <w:rPr>
          <w:rFonts w:ascii="Times New Roman" w:hAnsi="Times New Roman"/>
          <w:sz w:val="20"/>
        </w:rPr>
      </w:pPr>
      <w:r>
        <w:rPr>
          <w:rFonts w:ascii="Times New Roman" w:hAnsi="Times New Roman"/>
          <w:sz w:val="20"/>
        </w:rPr>
        <w:t xml:space="preserve">There is significant uncertainty related to insurance coverage and reimbursement of newly approved products. In the United States, principal decisions about reimbursement for new products are typically made by CMS. CMS decides whether and to what extent a new product will be covered and reimbursed under Medicare, and private payors often follow CMS’s decisions regarding coverage and reimbursement to a substantial degree. However, one payor’s determination to provide coverage for a product does not assure that other payors will also provide coverage for the product. As a result, the coverage determination process is often time-consuming and costly. This process will require us to provide scientific and clinical support for the use of our products to each payor separately, with no assurance that coverage and adequate reimbursement will be applied consistently or obtained in the first instance. Increasingly, third-party payors are requiring that drug companies provide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with predetermined discounts from list prices and are challenging the prices charged for medical products. Further, such payors are increasingly challenging the price, examining the medical necessity and reviewing the cost effectiveness of medical products. There may be especially significant delays in obtaining coverage and reimbursement for newly approved products. Third-party payors may limit coverage to specific products on an approved list, known as a formulary, which might not include all FDA-approved products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 </w:t>
      </w:r>
    </w:p>
    <w:p>
      <w:pPr>
        <w:pStyle w:val="TextBody"/>
        <w:bidi w:val="0"/>
        <w:spacing w:before="240" w:after="0"/>
        <w:jc w:val="both"/>
        <w:rPr>
          <w:rFonts w:ascii="Times New Roman" w:hAnsi="Times New Roman"/>
          <w:sz w:val="20"/>
        </w:rPr>
      </w:pPr>
      <w:r>
        <w:rPr>
          <w:rFonts w:ascii="Times New Roman" w:hAnsi="Times New Roman"/>
          <w:sz w:val="20"/>
        </w:rPr>
        <w:t xml:space="preserve">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if approved. For example, the Inflation Reduction Act of 2022 directed the U.S. Department of Health and Human Services (HHS) to impose rebates on most Medicare Part B and Medicare Part D products to penalize price increases that outpace inflation on an annual basis. In addition, the Inflation Reduction Act authorized the Medicare Drug Price Negotiation Program, which empowers HHS to negotiate the price of certain single-source biologics that have been on the market for at least 11 years covered under Medicare. Each year, up to 20 drugs or biologics covered under Medicare Part B and Part D will be selected by HHS for negotiation of a price that must be lower than a statutory mandated cap. Products subject to the Medicare Drug Price Negotiation Program are expected to experience a significant reduction in reimbursement from the Medicare program on a per unit basis. We expect to experience pricing pressures in connection with the sale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 </w:t>
      </w:r>
    </w:p>
    <w:p>
      <w:pPr>
        <w:pStyle w:val="TextBody"/>
        <w:bidi w:val="0"/>
        <w:spacing w:before="120" w:after="0"/>
        <w:jc w:val="both"/>
        <w:rPr>
          <w:rFonts w:ascii="Times New Roman" w:hAnsi="Times New Roman"/>
          <w:sz w:val="20"/>
        </w:rPr>
      </w:pPr>
      <w:r>
        <w:rPr>
          <w:rFonts w:ascii="Times New Roman" w:hAnsi="Times New Roman"/>
          <w:sz w:val="20"/>
        </w:rPr>
        <w:t xml:space="preserve">U.S. and foreign anti-corruption, anti-money laundering, export control, sanctions and other trade laws and regulations prohibit, among other things, companies and their employees, agents, CROs, CMOs,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regulatory approvals. We can be held liable for the corrupt or other illegal activities of our personnel, agents, or partners, even if we do not explicitly authorize or have prior knowledge of such activities. </w:t>
      </w:r>
    </w:p>
    <w:p>
      <w:pPr>
        <w:pStyle w:val="TextBody"/>
        <w:bidi w:val="0"/>
        <w:spacing w:before="240" w:after="0"/>
        <w:jc w:val="both"/>
        <w:rPr>
          <w:rFonts w:ascii="Times New Roman" w:hAnsi="Times New Roman"/>
          <w:sz w:val="20"/>
        </w:rPr>
      </w:pPr>
      <w:r>
        <w:rPr>
          <w:rFonts w:ascii="Times New Roman" w:hAnsi="Times New Roman"/>
          <w:sz w:val="20"/>
        </w:rPr>
        <w:t xml:space="preserve">We are also subject to export control and import laws and regulations, including the U.S. Export Administration Regulations, U.S. Customs regulations and various economic and trade sanctions regulations administered by the U.S. Treasury Department’s Office of Foreign Assets Controls.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provision of certain products and services to countries, governments and persons targeted by U.S. sanctions.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360" w:after="0"/>
        <w:jc w:val="both"/>
        <w:rPr>
          <w:rFonts w:ascii="Times New Roman" w:hAnsi="Times New Roman"/>
          <w:b/>
          <w:i/>
          <w:sz w:val="20"/>
        </w:rPr>
      </w:pPr>
      <w:r>
        <w:rPr>
          <w:rFonts w:ascii="Times New Roman" w:hAnsi="Times New Roman"/>
          <w:b/>
          <w:i/>
          <w:sz w:val="20"/>
        </w:rPr>
        <w:t xml:space="preserve">Governments outside the United States tend to impose strict price controls, which may adversely affect our revenue, if any. </w:t>
      </w:r>
    </w:p>
    <w:p>
      <w:pPr>
        <w:pStyle w:val="TextBody"/>
        <w:bidi w:val="0"/>
        <w:spacing w:before="120" w:after="0"/>
        <w:jc w:val="both"/>
        <w:rPr>
          <w:rFonts w:ascii="Times New Roman" w:hAnsi="Times New Roman"/>
          <w:sz w:val="20"/>
        </w:rPr>
      </w:pPr>
      <w:r>
        <w:rPr>
          <w:rFonts w:ascii="Times New Roman" w:hAnsi="Times New Roman"/>
          <w:sz w:val="20"/>
        </w:rPr>
        <w:t xml:space="preserve">In some countries, particularly member states of the EU, the pricing of therapeutic products is subject to governmental control. In these countries, pricing negotiations with governmental authorities can take considerable time after receipt of regulatory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To obtain coverage and reimbursement or pricing approvals in some countries, we may be required to conduct a clinical trial or other studies that compare the cost-effectiveness of ATTO-1310, ATTO-2306, ATTO-1091 or any future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Common Stock and This Offering </w:t>
      </w:r>
    </w:p>
    <w:p>
      <w:pPr>
        <w:pStyle w:val="TextBody"/>
        <w:bidi w:val="0"/>
        <w:spacing w:before="120" w:after="0"/>
        <w:jc w:val="both"/>
        <w:rPr>
          <w:rFonts w:ascii="Times New Roman" w:hAnsi="Times New Roman"/>
          <w:b/>
          <w:i/>
          <w:sz w:val="20"/>
        </w:rPr>
      </w:pPr>
      <w:r>
        <w:rPr>
          <w:rFonts w:ascii="Times New Roman" w:hAnsi="Times New Roman"/>
          <w:b/>
          <w:i/>
          <w:sz w:val="20"/>
        </w:rPr>
        <w:t xml:space="preserve">Anti-takeover provisions in our charter documents and under Delaware law could prevent or delay an acquisition of us, which may be beneficial to our stockholders, and may prevent attempts by our stockholders to replace or remove our current management. </w:t>
      </w:r>
    </w:p>
    <w:p>
      <w:pPr>
        <w:pStyle w:val="TextBody"/>
        <w:bidi w:val="0"/>
        <w:spacing w:before="120" w:after="0"/>
        <w:jc w:val="both"/>
        <w:rPr>
          <w:rFonts w:ascii="Times New Roman" w:hAnsi="Times New Roman"/>
          <w:sz w:val="20"/>
        </w:rPr>
      </w:pPr>
      <w:r>
        <w:rPr>
          <w:rFonts w:ascii="Times New Roman" w:hAnsi="Times New Roman"/>
          <w:sz w:val="20"/>
        </w:rPr>
        <w:t xml:space="preserve">Our restated certificate of incorporation and our restated bylaws that will be in effect upon completion of this offering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establish a classified board of directors so that not all members of our board of directors are elected at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permit only the board of directors to establish the number of directors and fill vacancies on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provide that directors may only be removed “for cause” and only with the approval of two-thirds of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require super-majority voting to amend some provisions in our restated certificate of incorporation and restated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authorize the issuance of “blank check” preferred stock that our board of directors could use to implement a stockholder rights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eliminate the ability of our stockholders to call special meetings of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prohibit stockholder action by written consent, which requires all stockholder actions to be taken at a meeting of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prohibit cumulative voting;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establish advance notice requirements for nominations for election to our board of directors or for proposing matters that can be acted upon by stockholders at annual stockholder meetings.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Section 203 of the Delaware General Corporation Law (DGCL), may discourage, delay or prevent a change in control of our company. Section 203 imposes certain restrictions on mergers, business combinations and other transactions between us and holders of 15% or more of our common stock. </w:t>
      </w:r>
    </w:p>
    <w:p>
      <w:pPr>
        <w:pStyle w:val="TextBody"/>
        <w:bidi w:val="0"/>
        <w:spacing w:before="360" w:after="0"/>
        <w:jc w:val="both"/>
        <w:rPr>
          <w:rFonts w:ascii="Times New Roman" w:hAnsi="Times New Roman"/>
          <w:b/>
          <w:i/>
          <w:sz w:val="20"/>
        </w:rPr>
      </w:pPr>
      <w:r>
        <w:rPr>
          <w:rFonts w:ascii="Times New Roman" w:hAnsi="Times New Roman"/>
          <w:b/>
          <w:i/>
          <w:sz w:val="20"/>
        </w:rPr>
        <w:t xml:space="preserve">The exclusive forum provisions in our organizational documents may limit a stockholder’s ability to bring a claim in a judicial forum that it finds favorable for disputes with us or any of our directors, officers, or employees, or the underwriters of any offering giving rise to such claim, which may discourage lawsuits with respect to such claims. </w:t>
      </w:r>
    </w:p>
    <w:p>
      <w:pPr>
        <w:pStyle w:val="TextBody"/>
        <w:bidi w:val="0"/>
        <w:spacing w:before="120" w:after="0"/>
        <w:jc w:val="both"/>
        <w:rPr>
          <w:rFonts w:ascii="Times New Roman" w:hAnsi="Times New Roman"/>
          <w:sz w:val="20"/>
        </w:rPr>
      </w:pPr>
      <w:r>
        <w:rPr>
          <w:rFonts w:ascii="Times New Roman" w:hAnsi="Times New Roman"/>
          <w:sz w:val="20"/>
        </w:rPr>
        <w:t xml:space="preserve">Our restated bylaws that will be in effect upon completion of this offering, to the fullest extent permitted by law, will provide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bylaws to be inapplicable or unenforceable in an action, we may incur additional costs associated with resolving such action in other jurisdictions, which could harm our business, financial condition, results of operations and prospects. </w:t>
      </w:r>
    </w:p>
    <w:p>
      <w:pPr>
        <w:pStyle w:val="TextBody"/>
        <w:bidi w:val="0"/>
        <w:spacing w:before="240" w:after="0"/>
        <w:jc w:val="both"/>
        <w:rPr>
          <w:rFonts w:ascii="Times New Roman" w:hAnsi="Times New Roman"/>
          <w:sz w:val="20"/>
        </w:rPr>
      </w:pPr>
      <w:r>
        <w:rPr>
          <w:rFonts w:ascii="Times New Roman" w:hAnsi="Times New Roman"/>
          <w:sz w:val="20"/>
        </w:rPr>
        <w:t xml:space="preserve">Section 22 of the Securities Act creates concurrent jurisdiction for federal and state courts over all claims brought to enforce any duty or liability created by the Securities Act or the rules and regulations thereunder. Our restated bylaws will provide that the federal district courts of the United States will, to the fullest extent permitted by law, be the exclusive forum for resolving any complaint asserting a cause of action arising under the Securities Act (Federal Forum Provision). Our decision to adopt a Federal Forum Provision followed a decision by the Supreme Court of the State of Delaware holding that such provisions are facially valid under Delaware law. While federal or other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 </w:t>
      </w:r>
    </w:p>
    <w:p>
      <w:pPr>
        <w:pStyle w:val="TextBody"/>
        <w:bidi w:val="0"/>
        <w:spacing w:before="240" w:after="0"/>
        <w:jc w:val="both"/>
        <w:rPr>
          <w:rFonts w:ascii="Times New Roman" w:hAnsi="Times New Roman"/>
          <w:sz w:val="20"/>
        </w:rPr>
      </w:pPr>
      <w:r>
        <w:rPr>
          <w:rFonts w:ascii="Times New Roman" w:hAnsi="Times New Roman"/>
          <w:sz w:val="20"/>
        </w:rPr>
        <w:t xml:space="preserve">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other employees or agents, which may discourage lawsuits against us and our directors, officers, other employees or agents.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 xml:space="preserve">The market price of our common stock is likely to be highly volatile, and you could lose all or part of your investment. </w:t>
      </w:r>
    </w:p>
    <w:p>
      <w:pPr>
        <w:pStyle w:val="TextBody"/>
        <w:bidi w:val="0"/>
        <w:spacing w:before="120" w:after="0"/>
        <w:jc w:val="both"/>
        <w:rPr>
          <w:rFonts w:ascii="Times New Roman" w:hAnsi="Times New Roman"/>
          <w:sz w:val="20"/>
        </w:rPr>
      </w:pPr>
      <w:r>
        <w:rPr>
          <w:rFonts w:ascii="Times New Roman" w:hAnsi="Times New Roman"/>
          <w:sz w:val="20"/>
        </w:rPr>
        <w:t xml:space="preserve">The trading price of our common stock following this offering is likely to be highly volatile and subject to wide fluctuations in response to various factors, some of which we cannot control. As a result of this volatility, investors may not be able to sell their common stock at or above the initial public offering price. The market price for our common stock may be influenced by many factors, including the other risks described in this “Risk Factors” section and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results of preclinical studies and clinical trials of any product candidates, or those of our competitors or our existing or future collaborators or licensing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timing and enrollment status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regulatory or legal developments in the United States or other countries, especially changes in federal or global health policies, laws or regulations applicable to any product candidates, including the review and oversight functions of federal health regulatory bodies;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success or failure of competitive products or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introductions and announcements of new product candidates by us, any future commercialization partners, or our competitors, and the timing of these introductions or announcements;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actions taken by regulatory agencies with respect to any product candidates, clinical studies, and, if approved, manufacturing process or sales and marketing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actual or anticipated variations in our financial results or those of companies that are perceived to be similar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success of our efforts to identify, acquire or in-license new technologies or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developments concerning any future collaborations, including but not limited to those with development and commercialization partners if any product candidates are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market conditions in the pharmaceutical and biotechnology sectors;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announcements by us or our competitors of significant acquisitions, strategic collaborations, joint ventures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developments or disputes concerning patents or other proprietary rights, including patents, litigation matters and our ability to obtain patent protection for any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or inability to raise additional capital and the terms on which we are able to raise it, if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effectively manage our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recruitment or departure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changes in the structure of healthcare payment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actual or anticipated changes in earnings estimates, development timelines or changes in stock market analyst recommendations regarding our common stock, other comparable companies or our industry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failure or the failure of our competitors to meet analysts’ projections or guidance that we or our competitors may give to the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fluctuations in the valuation of companies perceived by investors to be comparable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announcement and expectation of additional financing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speculation in the press or investment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fluctuations of share price and trading volume of our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sales or perceived potential sales of shares of our common stock by us, insiders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concentrated ownership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expiration of market standoff or lock-up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changes in accounting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actions instituted by activist shareholders or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terrorist acts, acts of war or periods of widespread civil unrest;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natural disasters and other calamities, including global pandemics such as the COVID-19 pandemic;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general economic, industry and market conditions, including changes in tariffs and trade restrictions, fluctuating interest rates and inflation;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2"/>
        <w:gridCol w:w="9287"/>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other events or factors, many of which are beyond our control.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Furthermore, the trading price of our common stock may be adversely affected by third 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do not currently intend to pay dividends on our common stock and, consequently, our stockholders’ ability to achieve a return on their investment will be dependent on appreciation of the value of our common stock. </w:t>
      </w:r>
    </w:p>
    <w:p>
      <w:pPr>
        <w:pStyle w:val="TextBody"/>
        <w:bidi w:val="0"/>
        <w:spacing w:before="120" w:after="0"/>
        <w:jc w:val="both"/>
        <w:rPr>
          <w:rFonts w:ascii="Times New Roman" w:hAnsi="Times New Roman"/>
          <w:sz w:val="20"/>
        </w:rPr>
      </w:pPr>
      <w:r>
        <w:rPr>
          <w:rFonts w:ascii="Times New Roman" w:hAnsi="Times New Roman"/>
          <w:sz w:val="20"/>
        </w:rPr>
        <w:t xml:space="preserve">We have never declared or paid any cash dividends on our common stock. We currently intend to retain all available funds and any future earnings to support operations and to finance the growth and development of our business. As a result, any investment return on our common stock will be dependent on increases in the value of our common stock, which is not certain. There is no guarantee that shares of our common stock will appreciate in value or even maintain the price at which stockholders have purchased their shares. </w:t>
      </w:r>
    </w:p>
    <w:p>
      <w:pPr>
        <w:pStyle w:val="TextBody"/>
        <w:bidi w:val="0"/>
        <w:spacing w:before="360" w:after="0"/>
        <w:jc w:val="both"/>
        <w:rPr>
          <w:rFonts w:ascii="Times New Roman" w:hAnsi="Times New Roman"/>
          <w:b/>
          <w:i/>
          <w:sz w:val="20"/>
        </w:rPr>
      </w:pPr>
      <w:r>
        <w:rPr>
          <w:rFonts w:ascii="Times New Roman" w:hAnsi="Times New Roman"/>
          <w:b/>
          <w:i/>
          <w:sz w:val="20"/>
        </w:rPr>
        <w:t xml:space="preserve">If securities or industry analysts do not publish research or reports about our business, or if they issue an adverse or misleading opinion regarding our stock, our stock price and trading volume could decline. </w:t>
      </w:r>
    </w:p>
    <w:p>
      <w:pPr>
        <w:pStyle w:val="TextBody"/>
        <w:bidi w:val="0"/>
        <w:spacing w:before="120" w:after="0"/>
        <w:jc w:val="both"/>
        <w:rPr>
          <w:rFonts w:ascii="Times New Roman" w:hAnsi="Times New Roman"/>
          <w:sz w:val="20"/>
        </w:rPr>
      </w:pPr>
      <w:r>
        <w:rPr>
          <w:rFonts w:ascii="Times New Roman" w:hAnsi="Times New Roman"/>
          <w:sz w:val="20"/>
        </w:rPr>
        <w:t xml:space="preserve">The trading market for our common stock will be influenced by the research and reports that industry or securities analysts publish about us or our business. We do not have any control over the industry or securities analysts, or the content and opinions included in their reports. We do not currently have and may never obtain research coverage by securities and industry analysts. If no or few securities or industry analysts commence coverage of us, the trading price for our common stock could be impacted negatively. In the event we obtain securities or industry analyst coverage, if any of the analysts who cover us issue an adverse or misleading opinion regarding us, our business model, our intellectual property or our stock performance, or if our preclinical studies and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 xml:space="preserve">Sales of substantial amounts of shares of our common stock may cause the price of our common stock to decline. </w:t>
      </w:r>
    </w:p>
    <w:p>
      <w:pPr>
        <w:pStyle w:val="TextBody"/>
        <w:bidi w:val="0"/>
        <w:spacing w:before="120" w:after="0"/>
        <w:jc w:val="both"/>
        <w:rPr>
          <w:rFonts w:ascii="Times New Roman" w:hAnsi="Times New Roman"/>
          <w:sz w:val="20"/>
        </w:rPr>
      </w:pPr>
      <w:r>
        <w:rPr>
          <w:rFonts w:ascii="Times New Roman" w:hAnsi="Times New Roman"/>
          <w:sz w:val="20"/>
        </w:rPr>
        <w:t xml:space="preserve">Based on 26,029,017 shares of our common stock outstanding as of March 31, 2026, including the automatic conversion of all shares of our outstanding redeemable convertible preferred stock as of March 31, 2026 into an aggregate of 21,517,976 shares of our common stock in connection with the completion of this offering, upon completion of this offering, we will have a total of 43,029,017 shares of common stock outstanding. Of these shares, only the 17,000,000 shares of common stock sold in this offering, or 19,550,000 shares if the underwriters exercise their option to purchase additional shares in full, will be freely tradable, without restriction, in the public market immediately after this offering. Each of our officers, directors and substantially all of our stockholders have entered into lock-up agreements with the underwriters that, among other things and subject to certain exceptions, restrict their ability to sell or transfer their shares. The lock-up agreements pertaining to this offering will expire 180 days from the date of this prospectus. However, Morgan Stanley &amp; Co. LLC, Leerink Partners LLC, Citigroup Global Markets Inc. and RBC Capital Markets, LLC may, in their sole discretion, permit our officers, directors and other stockholders who are subject to the lock-up agreements to sell shares prior to the expiration of the lock-up agreements. After the lock-up agreements expire, based on 26,029,017 shares outstanding as of March 31, 2026, approximately up to an additional 26,749,461 shares of common stock will be eligible for sale in the public market, approximately 15,044,561 of which shares are held by our officers, directors and their affiliated entities, and will be subject to volume limitations under Rule 144 under the Securities Act. </w:t>
      </w:r>
    </w:p>
    <w:p>
      <w:pPr>
        <w:pStyle w:val="TextBody"/>
        <w:bidi w:val="0"/>
        <w:spacing w:before="240" w:after="0"/>
        <w:jc w:val="both"/>
        <w:rPr>
          <w:rFonts w:ascii="Times New Roman" w:hAnsi="Times New Roman"/>
          <w:sz w:val="20"/>
        </w:rPr>
      </w:pPr>
      <w:r>
        <w:rPr>
          <w:rFonts w:ascii="Times New Roman" w:hAnsi="Times New Roman"/>
          <w:sz w:val="20"/>
        </w:rPr>
        <w:t xml:space="preserve">After this offering, the holders of an aggregate of 24,822,612 shares of our outstanding common stock as of March 31, 2026 will have rights, subject to some conditions, to require us to file registration statements covering their shares or to include their shares in registration statements that we may file for ourselves or our stockholders. We also intend to register shares of common stock that we may issue under our equity incentive plans. Once we register these shares, they will be able to be sold freely in the public market upon issuance, subject to the 180-day lock-up period under the lock-up agreements described above and in the sections titled “Shares Eligible for Future Sale” and “Underwriters.” See the section titled “Description of Capital Stock—Registration Rights” for additional information. </w:t>
      </w:r>
    </w:p>
    <w:p>
      <w:pPr>
        <w:pStyle w:val="TextBody"/>
        <w:bidi w:val="0"/>
        <w:spacing w:before="240" w:after="0"/>
        <w:jc w:val="both"/>
        <w:rPr>
          <w:rFonts w:ascii="Times New Roman" w:hAnsi="Times New Roman"/>
          <w:sz w:val="20"/>
        </w:rPr>
      </w:pPr>
      <w:r>
        <w:rPr>
          <w:rFonts w:ascii="Times New Roman" w:hAnsi="Times New Roman"/>
          <w:sz w:val="20"/>
        </w:rPr>
        <w:t xml:space="preserve">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options, or the perception that such sales may occur, could adversely affect the market price of our common stock. </w:t>
      </w:r>
    </w:p>
    <w:p>
      <w:pPr>
        <w:pStyle w:val="TextBody"/>
        <w:bidi w:val="0"/>
        <w:spacing w:before="240" w:after="0"/>
        <w:jc w:val="both"/>
        <w:rPr>
          <w:rFonts w:ascii="Times New Roman" w:hAnsi="Times New Roman"/>
          <w:sz w:val="20"/>
        </w:rPr>
      </w:pPr>
      <w:r>
        <w:rPr>
          <w:rFonts w:ascii="Times New Roman" w:hAnsi="Times New Roman"/>
          <w:sz w:val="20"/>
        </w:rPr>
        <w:t xml:space="preserve">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To the extent that additional capital is raised through the sale and issuance of shares of our common stock or other securities convertible into shares of our common stock, our stockholders will be diluted. These sales, or the perception in the market that the holders of a large number of shares intend to sell shares of our common stock, could reduce the market price of our common stock.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will have broad discretion in the use of the net proceeds from this offering and may not use them effectively. </w:t>
      </w:r>
    </w:p>
    <w:p>
      <w:pPr>
        <w:pStyle w:val="TextBody"/>
        <w:bidi w:val="0"/>
        <w:spacing w:before="120" w:after="0"/>
        <w:jc w:val="both"/>
        <w:rPr>
          <w:rFonts w:ascii="Times New Roman" w:hAnsi="Times New Roman"/>
          <w:sz w:val="20"/>
        </w:rPr>
      </w:pPr>
      <w:r>
        <w:rPr>
          <w:rFonts w:ascii="Times New Roman" w:hAnsi="Times New Roman"/>
          <w:sz w:val="20"/>
        </w:rPr>
        <w:t xml:space="preserve">Our management will have broad discretion in the application of the net proceeds from this offering, including for any of the purposes described in the section titled “Use of Proceeds,” and you will be relying on the judgment of our management regarding the application of these proceeds. You will not have the opportunity, as part of your investment decision, to assess whether we are using the proceeds appropriately. Our management might not apply our net proceeds in ways that ultimately increase the value of your investment. If we do not invest or apply the net proceeds from this offering in ways that enhance stockholder value, we may fail to achieve expected financial results, which could cause our stock price to decline. Pending their use, we may invest the net proceeds from this offering in a manner that does not produce income or that loses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 xml:space="preserve">No public market for our common stock currently exists, and an active and liquid trading market for our common stock may never develop. As a result, you may not be able to resell your shares of common stock at or above the initial public offering price. </w:t>
      </w:r>
    </w:p>
    <w:p>
      <w:pPr>
        <w:pStyle w:val="TextBody"/>
        <w:bidi w:val="0"/>
        <w:spacing w:before="120" w:after="0"/>
        <w:jc w:val="both"/>
        <w:rPr>
          <w:rFonts w:ascii="Times New Roman" w:hAnsi="Times New Roman"/>
          <w:sz w:val="20"/>
        </w:rPr>
      </w:pPr>
      <w:r>
        <w:rPr>
          <w:rFonts w:ascii="Times New Roman" w:hAnsi="Times New Roman"/>
          <w:sz w:val="20"/>
        </w:rPr>
        <w:t xml:space="preserve">Prior to this offering, no market for our common stock existed and an active trading market for our common stock may never develop or be sustained following this offering. The initial public offering price for our common stock was determined through negotiations with the underwriters and the negotiated price may not be indicative of the market price of our common stock after this offering. This price will not necessarily reflect the price at which investors in the market will be willing to buy and sell our shares following this offering, and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of common stock at the time you wish to sell them or at a price that you consider reasonable. The lack of an active market may also reduce the fair market value of your shares of common stock. To the extent certain of our existing stockholders and their affiliated entities participate in this offering, such purchases would reduce the nonaffiliated public float of our shares, meaning the number of shares of our common stock that are not held by officers, directors and controlling stockholders. As a result, the number of freely tradeable shares of our common stock following this offering will be reduced to what it would have been had these shares been sold to investors that were not existing stockholders, affiliates or purchasers.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 Furthermore, an inactive market may also impair our ability to raise capital by selling shares of our common stock and may impair our ability to enter into strategic collaborations or acquire companies or products by using our shares of common stock as consideration. </w:t>
      </w:r>
    </w:p>
    <w:p>
      <w:pPr>
        <w:pStyle w:val="TextBody"/>
        <w:bidi w:val="0"/>
        <w:spacing w:before="360" w:after="0"/>
        <w:jc w:val="both"/>
        <w:rPr>
          <w:rFonts w:ascii="Times New Roman" w:hAnsi="Times New Roman"/>
          <w:b/>
          <w:i/>
          <w:sz w:val="20"/>
        </w:rPr>
      </w:pPr>
      <w:r>
        <w:rPr>
          <w:rFonts w:ascii="Times New Roman" w:hAnsi="Times New Roman"/>
          <w:b/>
          <w:i/>
          <w:sz w:val="20"/>
        </w:rPr>
        <w:t xml:space="preserve">You will experience immediate and substantial dilution as a result of this offering and raising additional capital in the future may cause dilution to our stockholders, including purchasers of common stock in this offering, restrict our operations or require us to relinquish rights to our technologies or product candidates. </w:t>
      </w:r>
    </w:p>
    <w:p>
      <w:pPr>
        <w:pStyle w:val="TextBody"/>
        <w:bidi w:val="0"/>
        <w:spacing w:before="120" w:after="0"/>
        <w:jc w:val="both"/>
        <w:rPr>
          <w:rFonts w:ascii="Times New Roman" w:hAnsi="Times New Roman"/>
          <w:sz w:val="20"/>
        </w:rPr>
      </w:pPr>
      <w:r>
        <w:rPr>
          <w:rFonts w:ascii="Times New Roman" w:hAnsi="Times New Roman"/>
          <w:sz w:val="20"/>
        </w:rPr>
        <w:t xml:space="preserve">The expected initial public offering price of $17.00 per share is substantially higher than the pro forma as adjusted net tangible book value per share of our outstanding common stock immediately following the completion of this offering. If you purchase common stock in this offering at the expected initial public offering price of $17.00 per share, and assuming that the underwriters do not exercise their option to purchase additional common stock in this offering, you will incur immediate and substantial dilution of $7.75 per share, representing the difference between the expected initial public offering price of $17.00 per share and our pro forma as adjusted net tangible book value per share as of March 31, 2026 after giving effect to this offering and the conversion of all outstanding redeemable convertible preferred stock upon the completion of this offering. Following the completion of this offering, investors purchasing common stock in this offering will have contributed 53.0% of the total amount invested by stockholders since inception, but will only own 39.5% of the shares of common stock outstanding. For a further description of the dilution you will experience immediately after this offering, see the section titled “Dilution.” </w:t>
      </w:r>
    </w:p>
    <w:p>
      <w:pPr>
        <w:pStyle w:val="TextBody"/>
        <w:bidi w:val="0"/>
        <w:spacing w:before="360" w:after="0"/>
        <w:jc w:val="left"/>
        <w:rPr>
          <w:rFonts w:ascii="Times New Roman" w:hAnsi="Times New Roman"/>
          <w:b/>
          <w:sz w:val="20"/>
        </w:rPr>
      </w:pPr>
      <w:r>
        <w:rPr>
          <w:rFonts w:ascii="Times New Roman" w:hAnsi="Times New Roman"/>
          <w:b/>
          <w:sz w:val="20"/>
        </w:rPr>
        <w:t xml:space="preserve">General Risk Factors </w:t>
      </w:r>
    </w:p>
    <w:p>
      <w:pPr>
        <w:pStyle w:val="TextBody"/>
        <w:bidi w:val="0"/>
        <w:spacing w:before="120" w:after="0"/>
        <w:jc w:val="both"/>
        <w:rPr>
          <w:rFonts w:ascii="Times New Roman" w:hAnsi="Times New Roman"/>
          <w:b/>
          <w:i/>
          <w:sz w:val="20"/>
        </w:rPr>
      </w:pPr>
      <w:r>
        <w:rPr>
          <w:rFonts w:ascii="Times New Roman" w:hAnsi="Times New Roman"/>
          <w:b/>
          <w:i/>
          <w:sz w:val="20"/>
        </w:rPr>
        <w:t xml:space="preserve">Our current in-person operations are located in San Carlos, California, and we or the third parties on whom we depend may be adversely affected by natural disasters, terrorist activity, pandemics, geo-political actions in the United States and in foreign countries, and other events beyond our control, and our business continuity and disaster recovery plans may not adequately protect us from a serious disaster. Geo-political actions could increase the uncertainties and costs surrounding the prosecution or maintenance of our patent applications or those of any current or future licensors and the maintenance, enforcement or defense of our issued patents or those of any current or future licensors. </w:t>
      </w:r>
    </w:p>
    <w:p>
      <w:pPr>
        <w:pStyle w:val="TextBody"/>
        <w:bidi w:val="0"/>
        <w:spacing w:before="120" w:after="0"/>
        <w:jc w:val="both"/>
        <w:rPr>
          <w:rFonts w:ascii="Times New Roman" w:hAnsi="Times New Roman"/>
          <w:sz w:val="20"/>
        </w:rPr>
      </w:pPr>
      <w:r>
        <w:rPr>
          <w:rFonts w:ascii="Times New Roman" w:hAnsi="Times New Roman"/>
          <w:sz w:val="20"/>
        </w:rPr>
        <w:t xml:space="preserve">Our in-person operations are located in our corporate headquarters and research and development facility in San Carlos, California. Any unplanned event, such as flood, fire, explosion, earthquake, extreme weather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condition, pandemic, medical epidemic, power shortage, telecommunication failure or other natural or manmade accidents or incidents that result in us being unable to fully utilize our facilities, or the manufacturing facilities of our CMOs may have a material and adverse effect on our ability to operate our business and have significant negative consequences on our financial and operating conditions. If our facilities, or the manufacturing facilities of our CMOs, are unable to operate because of an accident or incident or for any other reason, including an inability to use all or a significant portion of our headquarters, damages to critical infrastructure, such as our research facilities or the manufacturing facilities of our CMOs, or other disruptions to operations, even for a short period of time, any or all of our research and development programs may be harmed. Any business interruption could have a material and adverse effect on our business, financial condition, results of operations and prospects. </w:t>
      </w:r>
    </w:p>
    <w:p>
      <w:pPr>
        <w:pStyle w:val="TextBody"/>
        <w:bidi w:val="0"/>
        <w:spacing w:before="240" w:after="0"/>
        <w:jc w:val="both"/>
        <w:rPr>
          <w:rFonts w:ascii="Times New Roman" w:hAnsi="Times New Roman"/>
          <w:sz w:val="20"/>
        </w:rPr>
      </w:pPr>
      <w:r>
        <w:rPr>
          <w:rFonts w:ascii="Times New Roman" w:hAnsi="Times New Roman"/>
          <w:sz w:val="20"/>
        </w:rPr>
        <w:t xml:space="preserve">Our employees often conduct business outside of any facilities leased by us. These locations may be subject to additional security and other risk factors due to the limited control of our employees.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w:t>
      </w:r>
    </w:p>
    <w:p>
      <w:pPr>
        <w:pStyle w:val="TextBody"/>
        <w:bidi w:val="0"/>
        <w:spacing w:before="360" w:after="0"/>
        <w:jc w:val="both"/>
        <w:rPr>
          <w:rFonts w:ascii="Times New Roman" w:hAnsi="Times New Roman"/>
          <w:b/>
          <w:i/>
          <w:sz w:val="20"/>
        </w:rPr>
      </w:pPr>
      <w:r>
        <w:rPr>
          <w:rFonts w:ascii="Times New Roman" w:hAnsi="Times New Roman"/>
          <w:b/>
          <w:i/>
          <w:sz w:val="20"/>
        </w:rPr>
        <w:t xml:space="preserve">Unstable market and economic conditions and adverse developments affecting the financial services industry, such as actual events or concerns involving inflation, liquidity, defaults or nonperformance by financial institutions or transactional counterparties, could adversely affect our current and projected business operations, and our financial condition and results of operations. </w:t>
      </w:r>
    </w:p>
    <w:p>
      <w:pPr>
        <w:pStyle w:val="TextBody"/>
        <w:bidi w:val="0"/>
        <w:spacing w:before="120" w:after="0"/>
        <w:jc w:val="both"/>
        <w:rPr>
          <w:rFonts w:ascii="Times New Roman" w:hAnsi="Times New Roman"/>
          <w:sz w:val="20"/>
        </w:rPr>
      </w:pPr>
      <w:r>
        <w:rPr>
          <w:rFonts w:ascii="Times New Roman" w:hAnsi="Times New Roman"/>
          <w:sz w:val="20"/>
        </w:rPr>
        <w:t xml:space="preserve">From time to time,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 financial markets and the global economy may also be adversely affected by the current or anticipated impact of military conflict, terrorism or other geopolitical events. Sanctions imposed by the United States and other countries in response to such conflicts, including the one in Ukraine, may also adversely impact the financial markets and the global economy, and any economic countermeasures by the affected countries or others could exacerbate market and economic instability. Russia’s ongoing incursion into Ukraine has created extreme volatility in the global capital markets and is expected to have further global economic consequences, including disruptions of the global supply chain and energy markets; it is possible that the ongoing Israel-Hamas conflict may have similar effects. In addition, adverse developments that affect financial institutions, such as events involving liquidity that are rumored or actual, have in the past and may in the future lead to market-wide liquidity problems. For example, in March 2023, Silicon Valley Bank (SVB), one of our banking partners, was closed by the California Department of Financial Protection and Innovation, which appointed the Federal Deposit Insurance Corporation (FDIC) as receiver. The closure of any additional national or regional commercial banks could lead to further economic instability. Although the Department of the Treasury, the Federal Reserve and the FDIC have taken steps to mitigate these risks, widespread demands for customer withdrawals or other liquidity needs of financial institutions for immediate liquidity may still occur in the future. We may maintain cash balances at third-party financial institutions in excess of the FDIC insurance limit and there is no guarantee that the federal government would provide access to uninsured funds in the future in the event of the closure of other banks or financial institutions, or that they would do so in a timely fashion. </w:t>
      </w:r>
    </w:p>
    <w:p>
      <w:pPr>
        <w:pStyle w:val="TextBody"/>
        <w:bidi w:val="0"/>
        <w:spacing w:before="240" w:after="0"/>
        <w:jc w:val="both"/>
        <w:rPr>
          <w:rFonts w:ascii="Times New Roman" w:hAnsi="Times New Roman"/>
          <w:sz w:val="20"/>
        </w:rPr>
      </w:pPr>
      <w:r>
        <w:rPr>
          <w:rFonts w:ascii="Times New Roman" w:hAnsi="Times New Roman"/>
          <w:sz w:val="20"/>
        </w:rPr>
        <w:t xml:space="preserve">Although we have not experienced any adverse impact to our liquidity or to our current and projected business operations, financial condition or results of operations, uncertainty remains over liquidity concerns in the broader financial services industry, and our business, our business partners, or industry as a whole may be adversely impacted in ways that we cannot predict at this time. Inflation and fluctuating interest rates have led to a decline in the trading value of previously issued government securities with interest rates below current market interest rates.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 xml:space="preserve">We will incur significant increased costs as a result of operating as a public company, and our management will be required to devote substantial time to new compliance initiatives and corporate governance practices. </w:t>
      </w:r>
    </w:p>
    <w:p>
      <w:pPr>
        <w:pStyle w:val="TextBody"/>
        <w:bidi w:val="0"/>
        <w:spacing w:before="120" w:after="0"/>
        <w:jc w:val="both"/>
        <w:rPr>
          <w:rFonts w:ascii="Times New Roman" w:hAnsi="Times New Roman"/>
          <w:sz w:val="20"/>
        </w:rPr>
      </w:pPr>
      <w:r>
        <w:rPr>
          <w:rFonts w:ascii="Times New Roman" w:hAnsi="Times New Roman"/>
          <w:sz w:val="20"/>
        </w:rPr>
        <w:t xml:space="preserve">As a public company, and particularly after we are no longer an emerging growth company or smaller reporting company, we will incur significant legal, accounting and other expenses that we did not incur as a private company.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If these requirements divert the attention of our management and personnel from other business concerns, they could have a material adverse effect on our business, financial condition and results of operations.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will decrease our net income or increase our net loss, and the increased costs may require us to reduce costs in other areas of our business. </w:t>
      </w:r>
    </w:p>
    <w:p>
      <w:pPr>
        <w:pStyle w:val="TextBody"/>
        <w:bidi w:val="0"/>
        <w:spacing w:before="240" w:after="0"/>
        <w:jc w:val="both"/>
        <w:rPr>
          <w:rFonts w:ascii="Times New Roman" w:hAnsi="Times New Roman"/>
          <w:sz w:val="20"/>
        </w:rPr>
      </w:pPr>
      <w:r>
        <w:rPr>
          <w:rFonts w:ascii="Times New Roman" w:hAnsi="Times New Roman"/>
          <w:sz w:val="20"/>
        </w:rPr>
        <w:t xml:space="preserve">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be subject to securities litigation, which is expensive and could divert management attention. </w:t>
      </w:r>
    </w:p>
    <w:p>
      <w:pPr>
        <w:pStyle w:val="TextBody"/>
        <w:bidi w:val="0"/>
        <w:spacing w:before="120" w:after="0"/>
        <w:jc w:val="both"/>
        <w:rPr>
          <w:rFonts w:ascii="Times New Roman" w:hAnsi="Times New Roman"/>
          <w:sz w:val="20"/>
        </w:rPr>
      </w:pPr>
      <w:r>
        <w:rPr>
          <w:rFonts w:ascii="Times New Roman" w:hAnsi="Times New Roman"/>
          <w:sz w:val="20"/>
        </w:rPr>
        <w:t xml:space="preserve">The market price of our common stock is likely to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divert our management’s attention and resources from other business concerns and damage our reputation, which could seriously harm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are an “emerging growth company” and a “smaller reporting company” and the reduced reporting requirements applicable to emerging growth companies or smaller reporting companies could make our common stock less attractive to investors. </w:t>
      </w:r>
    </w:p>
    <w:p>
      <w:pPr>
        <w:pStyle w:val="TextBody"/>
        <w:bidi w:val="0"/>
        <w:spacing w:before="120" w:after="0"/>
        <w:jc w:val="both"/>
        <w:rPr>
          <w:rFonts w:ascii="Times New Roman" w:hAnsi="Times New Roman"/>
          <w:sz w:val="20"/>
        </w:rPr>
      </w:pPr>
      <w:r>
        <w:rPr>
          <w:rFonts w:ascii="Times New Roman" w:hAnsi="Times New Roman"/>
          <w:sz w:val="20"/>
        </w:rPr>
        <w:t xml:space="preserve">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(ii) reduced disclosure obligations regarding executive compensation in this prospectus and our periodic reports and proxy statements and (iii)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this prospectus. </w:t>
      </w:r>
    </w:p>
    <w:p>
      <w:pPr>
        <w:pStyle w:val="TextBody"/>
        <w:bidi w:val="0"/>
        <w:spacing w:before="240" w:after="0"/>
        <w:jc w:val="both"/>
        <w:rPr>
          <w:rFonts w:ascii="Times New Roman" w:hAnsi="Times New Roman"/>
          <w:sz w:val="20"/>
        </w:rPr>
      </w:pPr>
      <w:r>
        <w:rPr>
          <w:rFonts w:ascii="Times New Roman" w:hAnsi="Times New Roman"/>
          <w:sz w:val="20"/>
        </w:rPr>
        <w:t xml:space="preserve">We could be an emerging growth company for up to five years following the completion of this offering, although circumstances could cause us to lose that status earlier, including if we are deemed to be a “large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accelerated filer,” which occurs when the market value of our common stock that is held by non-affiliates equals or exceeds $700.0 million as of the prior June 30, or if we have total annual gross revenue of $1.235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 </w:t>
      </w:r>
    </w:p>
    <w:p>
      <w:pPr>
        <w:pStyle w:val="TextBody"/>
        <w:bidi w:val="0"/>
        <w:spacing w:before="240" w:after="0"/>
        <w:jc w:val="both"/>
        <w:rPr>
          <w:rFonts w:ascii="Times New Roman" w:hAnsi="Times New Roman"/>
          <w:sz w:val="20"/>
        </w:rPr>
      </w:pPr>
      <w:r>
        <w:rPr>
          <w:rFonts w:ascii="Times New Roman" w:hAnsi="Times New Roman"/>
          <w:sz w:val="20"/>
        </w:rPr>
        <w:t xml:space="preserve">Under the JOBS Act, emerging growth companies can also delay adopting new or revised accounting standards until such time as those standards apply to private companies. We have elected to take advantage of the benefits of this extended transition period. Our consolidated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consolidated financial statements and that has a different effective date for public and private companies, we will disclose the date on which adoption is required for non-emerging growth companies and the date on which we will adopt the recently issued accounting standard. </w:t>
      </w:r>
    </w:p>
    <w:p>
      <w:pPr>
        <w:pStyle w:val="TextBody"/>
        <w:bidi w:val="0"/>
        <w:spacing w:before="240" w:after="0"/>
        <w:jc w:val="both"/>
        <w:rPr>
          <w:rFonts w:ascii="Times New Roman" w:hAnsi="Times New Roman"/>
          <w:sz w:val="20"/>
        </w:rPr>
      </w:pPr>
      <w:r>
        <w:rPr>
          <w:rFonts w:ascii="Times New Roman" w:hAnsi="Times New Roman"/>
          <w:sz w:val="20"/>
        </w:rPr>
        <w:t xml:space="preserve">We are also a “smaller reporting company” as defined in the Exchange Act. We may continue to be a smaller reporting company after this offering if either (i) the market value of our common stock held by non-affiliates is less than $250.0 million, measured as of the last business day of our most recently completed second quarter or (ii) our annual revenue is less than $100.0 million during the most recently completed fiscal year and the market value of our common stock held by non-affiliates is less than $700.0 million. We may continue to be a smaller reporting company even after we cease to be an emerging growth company, so we may continue to rely on exemptions from certain disclosure requirements that are available to smaller reporting companies. Specifically, as a smaller reporting company we may choose to present only the two most recent fiscal years of audited financial statements, we are not required to comply with the auditor attestation requirements of Section 404 of the Sarbanes-Oxley Act and, similar to emerging growth companies, smaller reporting companies have reduced disclosure obligations regarding executive compensation. </w:t>
      </w:r>
    </w:p>
    <w:p>
      <w:pPr>
        <w:pStyle w:val="TextBody"/>
        <w:bidi w:val="0"/>
        <w:spacing w:before="360" w:after="0"/>
        <w:jc w:val="both"/>
        <w:rPr>
          <w:rFonts w:ascii="Times New Roman" w:hAnsi="Times New Roman"/>
          <w:b/>
          <w:i/>
          <w:sz w:val="20"/>
        </w:rPr>
      </w:pPr>
      <w:r>
        <w:rPr>
          <w:rFonts w:ascii="Times New Roman" w:hAnsi="Times New Roman"/>
          <w:b/>
          <w:i/>
          <w:sz w:val="20"/>
        </w:rPr>
        <w:t xml:space="preserve">If we fail to establish and maintain proper and effective internal control over financial reporting in the future, our ability to produce accurate and timely consolidated financial statements could be impaired, which could harm our operating results, investors’ views of us and, as a result, the value of our common stock. </w:t>
      </w:r>
    </w:p>
    <w:p>
      <w:pPr>
        <w:pStyle w:val="TextBody"/>
        <w:bidi w:val="0"/>
        <w:spacing w:before="120" w:after="0"/>
        <w:jc w:val="both"/>
        <w:rPr>
          <w:rFonts w:ascii="Times New Roman" w:hAnsi="Times New Roman"/>
          <w:sz w:val="20"/>
        </w:rPr>
      </w:pPr>
      <w:r>
        <w:rPr>
          <w:rFonts w:ascii="Times New Roman" w:hAnsi="Times New Roman"/>
          <w:sz w:val="20"/>
        </w:rPr>
        <w:t xml:space="preserve">Pursuant to Section 404 of the Sarbanes-Oxley Act, we will be required to furnish a report by our management on our internal control over financial reporting within our Annual Report on Form 10-K. However, while we remain an emerging growth company, we will not be required to include an attestation report on internal control over financial reporting issued by our independent registered public accounting firm. Ensuring that we have adequate internal financial and accounting controls and procedures in place so that we can produce accurate consolidated financial statements on a timely basis is a costly and time-consuming effort that will need to be frequently evaluated. Our failure to maintain the effectiveness of our internal controls in accordance with the requirements of the Sarbanes-Oxley Act could have a material adverse effect on our business. If we identify one or more material weaknesses, it could result in an adverse reaction in the financial markets due to a loss of confidence in the reliability of our consolidated financial statements. In addition, if we are not able to continue to meet these requirements, we may not be able to remain listed on Nasdaq. </w:t>
      </w:r>
    </w:p>
    <w:p>
      <w:pPr>
        <w:pStyle w:val="TextBody"/>
        <w:bidi w:val="0"/>
        <w:spacing w:before="240" w:after="0"/>
        <w:jc w:val="both"/>
        <w:rPr>
          <w:rFonts w:ascii="Times New Roman" w:hAnsi="Times New Roman"/>
          <w:sz w:val="20"/>
        </w:rPr>
      </w:pPr>
      <w:r>
        <w:rPr>
          <w:rFonts w:ascii="Times New Roman" w:hAnsi="Times New Roman"/>
          <w:sz w:val="20"/>
        </w:rPr>
        <w:t xml:space="preserve">As we grow, we expect to hire additional personnel and may utilize external temporary resources to implement, document and modify policies and procedures to maintain effective internal controls. However, it is possible that we may identify deficiencies and weaknesses in our internal controls. If material weaknesses or deficiencies in our internal controls exist and go undetected or unremediated, our consolidated financial statements could contain material misstatements that, when discovered in the future, could cause us to fail to meet our future reporting obligations and cause the price of our common stock to decline.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 xml:space="preserve">Our disclosure controls and procedures may not prevent or detect all errors or acts of fraud. </w:t>
      </w:r>
    </w:p>
    <w:p>
      <w:pPr>
        <w:pStyle w:val="TextBody"/>
        <w:bidi w:val="0"/>
        <w:spacing w:before="120" w:after="0"/>
        <w:jc w:val="both"/>
        <w:rPr>
          <w:rFonts w:ascii="Times New Roman" w:hAnsi="Times New Roman"/>
          <w:sz w:val="20"/>
        </w:rPr>
      </w:pPr>
      <w:r>
        <w:rPr>
          <w:rFonts w:ascii="Times New Roman" w:hAnsi="Times New Roman"/>
          <w:sz w:val="20"/>
        </w:rPr>
        <w:t xml:space="preserve">Upon the completion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240" w:after="0"/>
        <w:jc w:val="both"/>
        <w:rPr>
          <w:rFonts w:ascii="Times New Roman" w:hAnsi="Times New Roman"/>
          <w:sz w:val="20"/>
        </w:rPr>
      </w:pPr>
      <w:r>
        <w:rPr>
          <w:rFonts w:ascii="Times New Roman" w:hAnsi="Times New Roman"/>
          <w:sz w:val="20"/>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5" w:name="tx40469_3"/>
      <w:bookmarkEnd w:id="5"/>
      <w:r>
        <w:rPr>
          <w:rFonts w:ascii="Times New Roman" w:hAnsi="Times New Roman"/>
          <w:b/>
          <w:sz w:val="20"/>
        </w:rPr>
        <w:t xml:space="preserve">SPECIAL NOTE REGARDING FORWARD-LOOKING STATEMENTS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contains forward-looking statements. In some cases, you can identify forward-looking statements by terms such as “believe,” “may,” “will,” “potentially,” “estimate,” “continue,” “anticipate,” “intend,” “could,” “would,” “project,” “plan,” “expect” and similar expressions that convey uncertainty of future events or outcomes, although not all forward-looking statements contain these words. These forward-looking statements are subject to a number of risks, uncertainties and assumptions, including those described in the section titled “Risk Factors” and elsewhere in this prospectus.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 </w:t>
      </w:r>
    </w:p>
    <w:p>
      <w:pPr>
        <w:pStyle w:val="TextBody"/>
        <w:bidi w:val="0"/>
        <w:spacing w:before="240" w:after="0"/>
        <w:jc w:val="both"/>
        <w:rPr>
          <w:rFonts w:ascii="Times New Roman" w:hAnsi="Times New Roman"/>
          <w:sz w:val="20"/>
        </w:rPr>
      </w:pPr>
      <w:r>
        <w:rPr>
          <w:rFonts w:ascii="Times New Roman" w:hAnsi="Times New Roman"/>
          <w:sz w:val="20"/>
        </w:rPr>
        <w:t xml:space="preserve">The forward-looking statements in this prospectus include, among other things,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initiation, timing, progress, results and costs of our clinical trials for ATTO-1310, ATTO-2306 and ATTO-1091, as well as any future preclinical studies and clinical trials and our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timing of and our ability to obtain and maintain regulatory approvals for ATTO-1310, ATTO-2306, ATTO-1091 and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obtain funding for our operations, including funding necessary to complete further clinical development and commercialization of ATTO-1310, ATTO-2306, ATTO-1091 and further discovery, development and commercialization of earlier stage and future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estimates of the addressable market for our current and any future product candidates, and market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plans to develop and, if approved, commercialize ATTO-1310 for the treatment of chronic pruritic diseases, including chronic pruritus of unknown origin (CPUO), high-itch atopic dermatitis (AD), cholestatic pruritus in primary biliary cholangitis (PBC) and primary sclerosing cholangitis (PSC) and chronic kidney disease-associated pruritus (CKD-aP), ATTO-2306 for the treatment of AD and other inflammatory skin diseases, such as chronic spontaneous urticaria (CSU) and prurigo nodularis (PN), and ATTO-1091 for the treatment of IBD;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expectations regarding demand for, and market acceptance of, our current and any future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market or commercialize any product candidates we may develop and to compete effectively with existing competitors and new market entrants;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obtain, maintain, protect and enforce intellectual property and proprietary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expand our pipeline of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potential effects of extensive government regulations relating to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operate our business without infringing, misappropriating or otherwise violating the intellectual property rights and proprietary technology of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retain the continued service of our key professionals and consultants and to identify, hire and retain key management and technical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expectations regarding any future collaboration and current or future licensing arrangements with third parties, including our ability to reach development milestones under such agreements;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impact of natural disasters, terrorist activity, pandemics and other events beyond our control on any of the above or any other aspect of our business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general global macroeconomic, industry and market conditions in either domestic or international markets, as well as economic conditions specifically affecting industries in which we operate, including but not limited to, actual or perceived instability in the global banking industry, potential uncertainty with respect to the U.S. federal debt ceiling and budget and potential government shutdowns related thereto, labor shortages, supply chain disruptions, potential recession, inflation and changing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impact of natural and man-made global events on our business, including political instability and military hostilities in multiple geographies, including global responses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expectations regarding expenses, future revenue, capital requirements and our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sales of our stock by us, our insiders or our stockholders, as well as the anticipation of lock-up releases or expiration of market standoff or lock-up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expectations regarding the period during which we will qualify as an emerging growth company under the JOBS Act or a smaller reporting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maintain adequate internal controls over financial reporting and to manage our business in accordance with applicable laws and the highly regulated industry in which we participate;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expected use of the net proceeds from this offering and our existing cash, cash equivalents and marketable securities.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caution you that the foregoing list may not contain all of the forward-looking statements made in this prospectus. </w:t>
      </w:r>
    </w:p>
    <w:p>
      <w:pPr>
        <w:pStyle w:val="TextBody"/>
        <w:bidi w:val="0"/>
        <w:spacing w:before="240" w:after="0"/>
        <w:jc w:val="both"/>
        <w:rPr>
          <w:rFonts w:ascii="Times New Roman" w:hAnsi="Times New Roman"/>
          <w:sz w:val="20"/>
        </w:rPr>
      </w:pPr>
      <w:r>
        <w:rPr>
          <w:rFonts w:ascii="Times New Roman" w:hAnsi="Times New Roman"/>
          <w:sz w:val="20"/>
        </w:rPr>
        <w:t xml:space="preserve">The forward-looking statements made in this prospectus relate only to events or information as of the date on which the statements are made in this prospectus. 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 except as required by law. </w:t>
      </w:r>
    </w:p>
    <w:p>
      <w:pPr>
        <w:pStyle w:val="TextBody"/>
        <w:bidi w:val="0"/>
        <w:spacing w:before="240" w:after="0"/>
        <w:jc w:val="both"/>
        <w:rPr>
          <w:rFonts w:ascii="Times New Roman" w:hAnsi="Times New Roman"/>
          <w:sz w:val="20"/>
        </w:rPr>
      </w:pPr>
      <w:r>
        <w:rPr>
          <w:rFonts w:ascii="Times New Roman" w:hAnsi="Times New Roman"/>
          <w:sz w:val="20"/>
        </w:rPr>
        <w:t xml:space="preserve">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 We qualify all of the forward-looking statements in this prospectus by these cautionary statements. </w:t>
      </w:r>
    </w:p>
    <w:p>
      <w:pPr>
        <w:pStyle w:val="TextBody"/>
        <w:bidi w:val="0"/>
        <w:spacing w:before="240" w:after="0"/>
        <w:jc w:val="both"/>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6" w:name="tx40469_4"/>
      <w:bookmarkEnd w:id="6"/>
      <w:r>
        <w:rPr>
          <w:rFonts w:ascii="Times New Roman" w:hAnsi="Times New Roman"/>
          <w:b/>
          <w:sz w:val="20"/>
        </w:rPr>
        <w:t xml:space="preserve">MARKET AND INDUSTRY DATA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contains estimates and other statistical data made by independent parties and by us relating to our industry and the markets in which we operate, including our general expectations and market position, market opportunity, the incidence of certain medical conditions and other industry data. In some cases, we do not expressly refer to the sources from which these data are derived. </w:t>
      </w:r>
    </w:p>
    <w:p>
      <w:pPr>
        <w:pStyle w:val="TextBody"/>
        <w:bidi w:val="0"/>
        <w:spacing w:before="240" w:after="0"/>
        <w:jc w:val="both"/>
        <w:rPr>
          <w:rFonts w:ascii="Times New Roman" w:hAnsi="Times New Roman"/>
          <w:sz w:val="20"/>
        </w:rPr>
      </w:pPr>
      <w:r>
        <w:rPr>
          <w:rFonts w:ascii="Times New Roman" w:hAnsi="Times New Roman"/>
          <w:sz w:val="20"/>
        </w:rPr>
        <w:t xml:space="preserve">These data, to the extent they contain estimates or projections, involve a number of assumptions and limitations, and you are cautioned not to give undue weight to such estimates or projections. Industry publications and other reports we have obtained from independent parties may state that the data contained in these publications or other reports have been obtained in good faith or from sources considered to be reliable, but they do not guarantee the accuracy or completeness of such data. The industry in which we operate is subject to risks and uncertainties due to a variety of factors, including those described in the section titled “Risk Factors.” These and other factors could cause results to differ materially from those expressed in these publications and reports. </w:t>
      </w:r>
    </w:p>
    <w:p>
      <w:pPr>
        <w:pStyle w:val="TextBody"/>
        <w:bidi w:val="0"/>
        <w:spacing w:before="240" w:after="0"/>
        <w:jc w:val="both"/>
        <w:rPr>
          <w:rFonts w:ascii="Times New Roman" w:hAnsi="Times New Roman"/>
          <w:sz w:val="20"/>
        </w:rPr>
      </w:pPr>
      <w:r>
        <w:rPr>
          <w:rFonts w:ascii="Times New Roman" w:hAnsi="Times New Roman"/>
          <w:sz w:val="20"/>
        </w:rPr>
        <w:t xml:space="preserve">Estimates of certain market opportunities and the prevalence of certain medical conditions included in this prospectus are derived from data from third-party research studies we commissioned from LifeSci Consulting, an affiliate of LifeSci Capital LLC, in 2025 and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7" w:name="tx40469_5"/>
      <w:bookmarkEnd w:id="7"/>
      <w:r>
        <w:rPr>
          <w:rFonts w:ascii="Times New Roman" w:hAnsi="Times New Roman"/>
          <w:b/>
          <w:sz w:val="20"/>
        </w:rPr>
        <w:t xml:space="preserve">USE OF PROCEEDS </w:t>
      </w:r>
    </w:p>
    <w:p>
      <w:pPr>
        <w:pStyle w:val="TextBody"/>
        <w:bidi w:val="0"/>
        <w:spacing w:before="240" w:after="0"/>
        <w:jc w:val="both"/>
        <w:rPr>
          <w:rFonts w:ascii="Times New Roman" w:hAnsi="Times New Roman"/>
          <w:sz w:val="20"/>
        </w:rPr>
      </w:pPr>
      <w:r>
        <w:rPr>
          <w:rFonts w:ascii="Times New Roman" w:hAnsi="Times New Roman"/>
          <w:sz w:val="20"/>
        </w:rPr>
        <w:t xml:space="preserve">We estimate that the net proceeds from this offering will be approximately $265.1 million, or approximately $305.4 million if the underwriters exercise their over-allotment option in full, based on the expected initial public offering price of $17.00 per share, after deducting the estimated underwriting discounts and commissions and estimated offering expenses payable by us. </w:t>
      </w:r>
    </w:p>
    <w:p>
      <w:pPr>
        <w:pStyle w:val="TextBody"/>
        <w:bidi w:val="0"/>
        <w:spacing w:before="240" w:after="0"/>
        <w:jc w:val="both"/>
        <w:rPr>
          <w:rFonts w:ascii="Times New Roman" w:hAnsi="Times New Roman"/>
          <w:sz w:val="20"/>
        </w:rPr>
      </w:pPr>
      <w:r>
        <w:rPr>
          <w:rFonts w:ascii="Times New Roman" w:hAnsi="Times New Roman"/>
          <w:sz w:val="20"/>
        </w:rPr>
        <w:t xml:space="preserve">Each increase or decrease of 1.0 million shares in the number of shares of our common stock offered would increase or decrease, as applicable, the net proceeds that we receive from this offering by $15.8 million, assuming that the expected initial public offering price remains the same and after deducting the estimated underwriting discounts and commissions and estimated offering expenses payable by us. The information discussed above is illustrative only and will adjust based on the actual initial public offering price and other terms of this offering determined at pricing. </w:t>
      </w:r>
    </w:p>
    <w:p>
      <w:pPr>
        <w:pStyle w:val="TextBody"/>
        <w:bidi w:val="0"/>
        <w:spacing w:before="240" w:after="0"/>
        <w:jc w:val="both"/>
        <w:rPr>
          <w:rFonts w:ascii="Times New Roman" w:hAnsi="Times New Roman"/>
          <w:sz w:val="20"/>
        </w:rPr>
      </w:pPr>
      <w:r>
        <w:rPr>
          <w:rFonts w:ascii="Times New Roman" w:hAnsi="Times New Roman"/>
          <w:sz w:val="20"/>
        </w:rPr>
        <w:t xml:space="preserve">The principal purposes of this offering are to increase our financial flexibility, to obtain additional capital to support our operations, to create a public market for our common stock and to facilitate our access to the public equity markets. We currently intend to use the net proceeds we receive from this offering, together with our existing cash, cash equivalents and marketable securities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approximately $110.0 million to $130.0 million to advance the clinical development of ATTO-1310 through Phase 2 clinical studies in CPUO and high-itch 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2"/>
        <w:gridCol w:w="9287"/>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approximately $60.0 million to $80.0 million to advance the clinical development of ATTO-2306 through a Phase 2 clinical study in moderate-to-severe AD;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remainder to advance our research pipeline, including ATTO-1091 through a Phase 1 clinical study in IBD, for other research and development activities, as well as for working capital and other general corporate purposes.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Based on our current operating plan, we believe that our existing cash, cash equivalents and marketable securities, together with the net proceeds from this offering, will be sufficient for us to fund our operations into 2029. We have based this estimate on assumptions that may prove to be wrong, and we could use our available capital resources sooner than we expect. Because of the numerous risks and uncertainties associated with research, development and commercialization of pharmaceutical drugs, we are unable to estimate the exact amount of our working capital requirements. </w:t>
      </w:r>
    </w:p>
    <w:p>
      <w:pPr>
        <w:pStyle w:val="TextBody"/>
        <w:bidi w:val="0"/>
        <w:spacing w:before="240" w:after="0"/>
        <w:jc w:val="both"/>
        <w:rPr>
          <w:rFonts w:ascii="Times New Roman" w:hAnsi="Times New Roman"/>
          <w:sz w:val="20"/>
        </w:rPr>
      </w:pPr>
      <w:r>
        <w:rPr>
          <w:rFonts w:ascii="Times New Roman" w:hAnsi="Times New Roman"/>
          <w:sz w:val="20"/>
        </w:rPr>
        <w:t xml:space="preserve">The expected use of our existing cash, cash equivalents and marketable securities and the net proceeds from this offering represents our intentions based upon our current plans and business conditions, which could change in the future as our plans and business conditions evolve. The amounts we actually expend in these areas, and the timing thereof, may vary significantly from our current intentions and will depend on a number of factors, including the progress of our current and planned clinical trials, regulatory feedback, the success of research and development efforts, the results and timing of any future preclinical studies and clinical trials any new collaborations or licenses we may enter into, cash generated from future operations and actual expenses to operate our business, and other factors described in the section titled “Risk Factors.” We may also use a portion of the net proceeds of this offering to in-license, acquire or invest in complementary businesses, products, or technologies, or to obtain the right to use such complementary technologies. We have no commitments with respect to any acquisition or investment, and we are not currently involved in any negotiations with respect to any such transaction. </w:t>
      </w:r>
    </w:p>
    <w:p>
      <w:pPr>
        <w:pStyle w:val="TextBody"/>
        <w:bidi w:val="0"/>
        <w:spacing w:before="240" w:after="0"/>
        <w:jc w:val="both"/>
        <w:rPr>
          <w:rFonts w:ascii="Times New Roman" w:hAnsi="Times New Roman"/>
          <w:sz w:val="20"/>
        </w:rPr>
      </w:pPr>
      <w:r>
        <w:rPr>
          <w:rFonts w:ascii="Times New Roman" w:hAnsi="Times New Roman"/>
          <w:sz w:val="20"/>
        </w:rPr>
        <w:t xml:space="preserve">As a result, we cannot predict with any certainty all of the particular uses for the net proceeds or the amounts that we will actually spend on the uses set forth above. Accordingly, our management will have broad discretion in the application of the net proceeds, and investors will be relying on the judgment of our management regarding the application of the net proceeds of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 expected net proceeds of this offering, together with our existing cash, cash equivalents and marketable securities, will not be sufficient for us to fund ATTO-1310, ATTO-2306, ATTO-1091, our earlier stage product candidates or any other future product candidates, if any, through regulatory approval, and we will need to raise substantial additional capital to complete the development and potential commercialization of our product candidates, if approved. </w:t>
      </w:r>
    </w:p>
    <w:p>
      <w:pPr>
        <w:pStyle w:val="TextBody"/>
        <w:bidi w:val="0"/>
        <w:spacing w:before="240" w:after="0"/>
        <w:jc w:val="both"/>
        <w:rPr>
          <w:rFonts w:ascii="Times New Roman" w:hAnsi="Times New Roman"/>
          <w:sz w:val="20"/>
        </w:rPr>
      </w:pPr>
      <w:r>
        <w:rPr>
          <w:rFonts w:ascii="Times New Roman" w:hAnsi="Times New Roman"/>
          <w:sz w:val="20"/>
        </w:rPr>
        <w:t xml:space="preserve">Pending the uses described above, we intend to invest the net proceeds from this offering in short-term, investment-grade interest-bearing securities such as money market accounts, certificates of deposit, commercial paper and guaranteed obligations of the U.S. government.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8" w:name="tx40469_6"/>
      <w:bookmarkEnd w:id="8"/>
      <w:r>
        <w:rPr>
          <w:rFonts w:ascii="Times New Roman" w:hAnsi="Times New Roman"/>
          <w:b/>
          <w:sz w:val="20"/>
        </w:rPr>
        <w:t xml:space="preserve">DIVIDEND POLICY </w:t>
      </w:r>
    </w:p>
    <w:p>
      <w:pPr>
        <w:pStyle w:val="TextBody"/>
        <w:bidi w:val="0"/>
        <w:spacing w:before="240" w:after="0"/>
        <w:jc w:val="both"/>
        <w:rPr>
          <w:rFonts w:ascii="Times New Roman" w:hAnsi="Times New Roman"/>
          <w:sz w:val="20"/>
        </w:rPr>
      </w:pPr>
      <w:r>
        <w:rPr>
          <w:rFonts w:ascii="Times New Roman" w:hAnsi="Times New Roman"/>
          <w:sz w:val="20"/>
        </w:rPr>
        <w:t xml:space="preserve">We have never declared or paid any cash dividends on our common stock. We currently intend to retain all available funds and any future earnings, if any, for use in the operation of our business and do not anticipate paying any cash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Our ability to pay cash dividends on our capital stock in the future may also be limited by any restrictions contained in any future financing instruments or by the terms of any preferred securities we may issue or agreements governing any indebtedness we may incur.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9" w:name="tx40469_7"/>
      <w:bookmarkEnd w:id="9"/>
      <w:r>
        <w:rPr>
          <w:rFonts w:ascii="Times New Roman" w:hAnsi="Times New Roman"/>
          <w:b/>
          <w:sz w:val="20"/>
        </w:rPr>
        <w:t xml:space="preserve">CAPITALIZATION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sets forth our cash, cash equivalents and marketable securities and capitalization as of March 31,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on an actual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on a pro forma basis, giving effect to (i) the automatic conversion of all outstanding shares of our redeemable convertible preferred stock as of March 31, 2026 into an aggregate of 21,517,976 shares of our common stock and the related reclassification of the carrying value of the redeemable convertible preferred stock to permanent equity in connection with the completion of this offering, and (ii) the filing and effectiveness of our restated certificate of incorporation upon the completion of this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on a pro forma as adjusted basis giving effect to (i) the pro forma adjustments described above, and (ii) the issuance and sale of 17,000,000 shares of our common stock in this offering at an expected initial public offering price of $17.00 per share, after deducting the estimated underwriting discounts and commissions and estimated offering expenses payable by us.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pro forma and pro forma as adjusted information set forth below is illustrative only and will be adjusted based on the actual initial public offering price and other terms of this offering determined at pricing. </w:t>
      </w:r>
    </w:p>
    <w:p>
      <w:pPr>
        <w:pStyle w:val="TextBody"/>
        <w:bidi w:val="0"/>
        <w:spacing w:before="240" w:after="0"/>
        <w:jc w:val="both"/>
        <w:rPr>
          <w:rFonts w:ascii="Times New Roman" w:hAnsi="Times New Roman"/>
          <w:sz w:val="20"/>
        </w:rPr>
      </w:pPr>
      <w:r>
        <w:rPr>
          <w:rFonts w:ascii="Times New Roman" w:hAnsi="Times New Roman"/>
          <w:sz w:val="20"/>
        </w:rPr>
        <w:t xml:space="preserve">You should read this table together with the section titled “Management’s Discussion and Analysis of Financial Condition and Results of Operations” and our consolidated financial statements and the related notes, each included elsewhere in this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99"/>
        <w:gridCol w:w="274"/>
        <w:gridCol w:w="140"/>
        <w:gridCol w:w="880"/>
        <w:gridCol w:w="155"/>
        <w:gridCol w:w="231"/>
        <w:gridCol w:w="157"/>
        <w:gridCol w:w="1024"/>
        <w:gridCol w:w="155"/>
        <w:gridCol w:w="231"/>
        <w:gridCol w:w="208"/>
        <w:gridCol w:w="1291"/>
        <w:gridCol w:w="160"/>
      </w:tblGrid>
      <w:tr>
        <w:trPr/>
        <w:tc>
          <w:tcPr>
            <w:tcW w:w="5299"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99"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447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March 31, 2026</w:t>
            </w:r>
          </w:p>
        </w:tc>
        <w:tc>
          <w:tcPr>
            <w:tcW w:w="160" w:type="dxa"/>
            <w:tcBorders/>
            <w:vAlign w:val="bottom"/>
          </w:tcPr>
          <w:p>
            <w:pPr>
              <w:pStyle w:val="TableContents"/>
              <w:bidi w:val="0"/>
              <w:spacing w:before="0" w:after="283"/>
              <w:jc w:val="left"/>
              <w:rPr/>
            </w:pPr>
            <w:r>
              <w:rPr/>
              <w:t> </w:t>
            </w:r>
          </w:p>
        </w:tc>
      </w:tr>
      <w:tr>
        <w:trPr/>
        <w:tc>
          <w:tcPr>
            <w:tcW w:w="5299"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0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 As</w:t>
              <w:br/>
              <w:t>Adjusted(1)</w:t>
            </w:r>
          </w:p>
        </w:tc>
        <w:tc>
          <w:tcPr>
            <w:tcW w:w="160" w:type="dxa"/>
            <w:tcBorders/>
            <w:vAlign w:val="bottom"/>
          </w:tcPr>
          <w:p>
            <w:pPr>
              <w:pStyle w:val="TableContents"/>
              <w:bidi w:val="0"/>
              <w:spacing w:before="0" w:after="283"/>
              <w:jc w:val="left"/>
              <w:rPr/>
            </w:pPr>
            <w:r>
              <w:rPr/>
              <w:t> </w:t>
            </w:r>
          </w:p>
        </w:tc>
      </w:tr>
      <w:tr>
        <w:trPr/>
        <w:tc>
          <w:tcPr>
            <w:tcW w:w="5299"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4472" w:type="dxa"/>
            <w:gridSpan w:val="10"/>
            <w:tcBorders/>
            <w:vAlign w:val="bottom"/>
          </w:tcPr>
          <w:p>
            <w:pPr>
              <w:pStyle w:val="TableContents"/>
              <w:bidi w:val="0"/>
              <w:spacing w:before="0" w:after="20"/>
              <w:jc w:val="center"/>
              <w:rPr>
                <w:rFonts w:ascii="Times New Roman" w:hAnsi="Times New Roman"/>
                <w:b/>
                <w:sz w:val="16"/>
              </w:rPr>
            </w:pPr>
            <w:r>
              <w:rPr>
                <w:rFonts w:ascii="Times New Roman" w:hAnsi="Times New Roman"/>
                <w:b/>
                <w:sz w:val="16"/>
              </w:rPr>
              <w:t>(in thousands, except share and per share</w:t>
              <w:br/>
              <w:t>amounts)</w:t>
            </w:r>
          </w:p>
        </w:tc>
        <w:tc>
          <w:tcPr>
            <w:tcW w:w="160" w:type="dxa"/>
            <w:tcBorders/>
            <w:vAlign w:val="bottom"/>
          </w:tcPr>
          <w:p>
            <w:pPr>
              <w:pStyle w:val="TableContents"/>
              <w:bidi w:val="0"/>
              <w:spacing w:before="0" w:after="283"/>
              <w:jc w:val="left"/>
              <w:rPr/>
            </w:pPr>
            <w:r>
              <w:rPr/>
              <w:t> </w:t>
            </w:r>
          </w:p>
        </w:tc>
      </w:tr>
      <w:tr>
        <w:trPr/>
        <w:tc>
          <w:tcPr>
            <w:tcW w:w="52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marketable securities</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132,622</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1024" w:type="dxa"/>
            <w:tcBorders/>
            <w:shd w:fill="CCEEFF" w:val="clear"/>
            <w:vAlign w:val="bottom"/>
          </w:tcPr>
          <w:p>
            <w:pPr>
              <w:pStyle w:val="TableContents"/>
              <w:bidi w:val="0"/>
              <w:spacing w:before="0" w:after="283"/>
              <w:jc w:val="right"/>
              <w:rPr/>
            </w:pPr>
            <w:r>
              <w:rPr/>
              <w:t>132,622</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291" w:type="dxa"/>
            <w:tcBorders/>
            <w:shd w:fill="CCEEFF" w:val="clear"/>
            <w:vAlign w:val="bottom"/>
          </w:tcPr>
          <w:p>
            <w:pPr>
              <w:pStyle w:val="TableContents"/>
              <w:bidi w:val="0"/>
              <w:spacing w:before="0" w:after="283"/>
              <w:jc w:val="right"/>
              <w:rPr/>
            </w:pPr>
            <w:r>
              <w:rPr/>
              <w:t>399,011</w:t>
            </w:r>
          </w:p>
        </w:tc>
        <w:tc>
          <w:tcPr>
            <w:tcW w:w="160" w:type="dxa"/>
            <w:tcBorders/>
            <w:shd w:fill="CCEEFF" w:val="clear"/>
            <w:vAlign w:val="bottom"/>
          </w:tcPr>
          <w:p>
            <w:pPr>
              <w:pStyle w:val="TableContents"/>
              <w:bidi w:val="0"/>
              <w:spacing w:before="0" w:after="283"/>
              <w:jc w:val="left"/>
              <w:rPr/>
            </w:pPr>
            <w:r>
              <w:rPr/>
              <w:t> </w:t>
            </w:r>
          </w:p>
        </w:tc>
      </w:tr>
      <w:tr>
        <w:trPr/>
        <w:tc>
          <w:tcPr>
            <w:tcW w:w="5299"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10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129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99" w:type="dxa"/>
            <w:tcBorders/>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 par value $0.0001 per share; 199,902,270 shares authorized, 199,902,270 issued and outstanding, actual; no shares authorized, issued and outstanding, pro forma and pro forma as adjusted</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0" w:type="dxa"/>
            <w:tcBorders/>
            <w:vAlign w:val="bottom"/>
          </w:tcPr>
          <w:p>
            <w:pPr>
              <w:pStyle w:val="TableContents"/>
              <w:bidi w:val="0"/>
              <w:spacing w:before="0" w:after="283"/>
              <w:jc w:val="right"/>
              <w:rPr/>
            </w:pPr>
            <w:r>
              <w:rPr/>
              <w:t>258,226</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1024"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1291" w:type="dxa"/>
            <w:tcBorders/>
            <w:vAlign w:val="bottom"/>
          </w:tcPr>
          <w:p>
            <w:pPr>
              <w:pStyle w:val="TableContents"/>
              <w:bidi w:val="0"/>
              <w:spacing w:before="0" w:after="283"/>
              <w:jc w:val="right"/>
              <w:rPr/>
            </w:pPr>
            <w:r>
              <w:rPr/>
              <w:t>-</w:t>
            </w:r>
          </w:p>
        </w:tc>
        <w:tc>
          <w:tcPr>
            <w:tcW w:w="160" w:type="dxa"/>
            <w:tcBorders/>
            <w:vAlign w:val="bottom"/>
          </w:tcPr>
          <w:p>
            <w:pPr>
              <w:pStyle w:val="TableContents"/>
              <w:bidi w:val="0"/>
              <w:spacing w:before="0" w:after="283"/>
              <w:jc w:val="left"/>
              <w:rPr/>
            </w:pPr>
            <w:r>
              <w:rPr/>
              <w:t> </w:t>
            </w:r>
          </w:p>
        </w:tc>
      </w:tr>
      <w:tr>
        <w:trPr/>
        <w:tc>
          <w:tcPr>
            <w:tcW w:w="52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equity (deficit):</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1291"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299" w:type="dxa"/>
            <w:tcBorders/>
          </w:tcPr>
          <w:p>
            <w:pPr>
              <w:pStyle w:val="TableContents"/>
              <w:bidi w:val="0"/>
              <w:spacing w:before="0" w:after="0"/>
              <w:jc w:val="left"/>
              <w:rPr>
                <w:rFonts w:ascii="Times New Roman" w:hAnsi="Times New Roman"/>
                <w:sz w:val="20"/>
              </w:rPr>
            </w:pPr>
            <w:r>
              <w:rPr>
                <w:rFonts w:ascii="Times New Roman" w:hAnsi="Times New Roman"/>
                <w:sz w:val="20"/>
              </w:rPr>
              <w:t>Preferred stock, par value $0.0001 per share; no shares authorized, issued and outstanding, actual; 10,000,000 shares authorized, no shares issued and outstanding, pro forma and pro forma as adjusted</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w:t>
            </w:r>
          </w:p>
        </w:tc>
        <w:tc>
          <w:tcPr>
            <w:tcW w:w="160" w:type="dxa"/>
            <w:tcBorders/>
            <w:vAlign w:val="bottom"/>
          </w:tcPr>
          <w:p>
            <w:pPr>
              <w:pStyle w:val="TableContents"/>
              <w:bidi w:val="0"/>
              <w:spacing w:before="0" w:after="283"/>
              <w:jc w:val="left"/>
              <w:rPr/>
            </w:pPr>
            <w:r>
              <w:rPr/>
              <w:t> </w:t>
            </w:r>
          </w:p>
        </w:tc>
      </w:tr>
      <w:tr>
        <w:trPr/>
        <w:tc>
          <w:tcPr>
            <w:tcW w:w="52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par value $0.0001 per share; 284,023,000 shares authorized, 4,511,041 shares issued and outstanding, actual; 500,000,000 shares authorized, 26,029,017 shares issued and outstanding, pro forma; 500,000,000 shares authorized, 43,029,017 shares issued and outstanding, pro forma as adjusted</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4</w:t>
            </w:r>
          </w:p>
        </w:tc>
        <w:tc>
          <w:tcPr>
            <w:tcW w:w="160" w:type="dxa"/>
            <w:tcBorders/>
            <w:shd w:fill="CCEEFF" w:val="clear"/>
            <w:vAlign w:val="bottom"/>
          </w:tcPr>
          <w:p>
            <w:pPr>
              <w:pStyle w:val="TableContents"/>
              <w:bidi w:val="0"/>
              <w:spacing w:before="0" w:after="283"/>
              <w:jc w:val="left"/>
              <w:rPr/>
            </w:pPr>
            <w:r>
              <w:rPr/>
              <w:t> </w:t>
            </w:r>
          </w:p>
        </w:tc>
      </w:tr>
      <w:tr>
        <w:trPr/>
        <w:tc>
          <w:tcPr>
            <w:tcW w:w="5299"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4,177</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262,401</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527,534</w:t>
            </w:r>
          </w:p>
        </w:tc>
        <w:tc>
          <w:tcPr>
            <w:tcW w:w="160" w:type="dxa"/>
            <w:tcBorders/>
            <w:vAlign w:val="bottom"/>
          </w:tcPr>
          <w:p>
            <w:pPr>
              <w:pStyle w:val="TableContents"/>
              <w:bidi w:val="0"/>
              <w:spacing w:before="0" w:after="283"/>
              <w:jc w:val="left"/>
              <w:rPr/>
            </w:pPr>
            <w:r>
              <w:rPr/>
              <w:t> </w:t>
            </w:r>
          </w:p>
        </w:tc>
      </w:tr>
      <w:tr>
        <w:trPr/>
        <w:tc>
          <w:tcPr>
            <w:tcW w:w="52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(27</w:t>
            </w:r>
          </w:p>
        </w:tc>
        <w:tc>
          <w:tcPr>
            <w:tcW w:w="160" w:type="dxa"/>
            <w:tcBorders/>
            <w:shd w:fill="CCEEFF" w:val="clear"/>
            <w:vAlign w:val="bottom"/>
          </w:tcPr>
          <w:p>
            <w:pPr>
              <w:pStyle w:val="TableContents"/>
              <w:bidi w:val="0"/>
              <w:spacing w:before="0" w:after="283"/>
              <w:jc w:val="left"/>
              <w:rPr/>
            </w:pPr>
            <w:r>
              <w:rPr/>
              <w:t>) </w:t>
            </w:r>
          </w:p>
        </w:tc>
      </w:tr>
      <w:tr>
        <w:trPr/>
        <w:tc>
          <w:tcPr>
            <w:tcW w:w="5299"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(129,666</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(129,666</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(129,666</w:t>
            </w:r>
          </w:p>
        </w:tc>
        <w:tc>
          <w:tcPr>
            <w:tcW w:w="160" w:type="dxa"/>
            <w:tcBorders/>
            <w:vAlign w:val="bottom"/>
          </w:tcPr>
          <w:p>
            <w:pPr>
              <w:pStyle w:val="TableContents"/>
              <w:bidi w:val="0"/>
              <w:spacing w:before="0" w:after="283"/>
              <w:jc w:val="left"/>
              <w:rPr/>
            </w:pPr>
            <w:r>
              <w:rPr/>
              <w:t>) </w:t>
            </w:r>
          </w:p>
        </w:tc>
      </w:tr>
      <w:tr>
        <w:trPr/>
        <w:tc>
          <w:tcPr>
            <w:tcW w:w="5299"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 (deficit)</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(125,515</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132,711</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397,845</w:t>
            </w:r>
          </w:p>
        </w:tc>
        <w:tc>
          <w:tcPr>
            <w:tcW w:w="160" w:type="dxa"/>
            <w:tcBorders/>
            <w:shd w:fill="CCEEFF" w:val="clear"/>
            <w:vAlign w:val="bottom"/>
          </w:tcPr>
          <w:p>
            <w:pPr>
              <w:pStyle w:val="TableContents"/>
              <w:bidi w:val="0"/>
              <w:spacing w:before="0" w:after="283"/>
              <w:jc w:val="left"/>
              <w:rPr/>
            </w:pPr>
            <w:r>
              <w:rPr/>
              <w:t> </w:t>
            </w:r>
          </w:p>
        </w:tc>
      </w:tr>
      <w:tr>
        <w:trPr/>
        <w:tc>
          <w:tcPr>
            <w:tcW w:w="5299"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99" w:type="dxa"/>
            <w:tcBorders/>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0" w:type="dxa"/>
            <w:tcBorders/>
            <w:vAlign w:val="bottom"/>
          </w:tcPr>
          <w:p>
            <w:pPr>
              <w:pStyle w:val="TableContents"/>
              <w:bidi w:val="0"/>
              <w:spacing w:before="0" w:after="283"/>
              <w:jc w:val="right"/>
              <w:rPr/>
            </w:pPr>
            <w:r>
              <w:rPr/>
              <w:t>132,711</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1024" w:type="dxa"/>
            <w:tcBorders/>
            <w:vAlign w:val="bottom"/>
          </w:tcPr>
          <w:p>
            <w:pPr>
              <w:pStyle w:val="TableContents"/>
              <w:bidi w:val="0"/>
              <w:spacing w:before="0" w:after="283"/>
              <w:jc w:val="right"/>
              <w:rPr/>
            </w:pPr>
            <w:r>
              <w:rPr/>
              <w:t>132,711</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1291" w:type="dxa"/>
            <w:tcBorders/>
            <w:vAlign w:val="bottom"/>
          </w:tcPr>
          <w:p>
            <w:pPr>
              <w:pStyle w:val="TableContents"/>
              <w:bidi w:val="0"/>
              <w:spacing w:before="0" w:after="283"/>
              <w:jc w:val="right"/>
              <w:rPr/>
            </w:pPr>
            <w:r>
              <w:rPr/>
              <w:t>397,845</w:t>
            </w:r>
          </w:p>
        </w:tc>
        <w:tc>
          <w:tcPr>
            <w:tcW w:w="160" w:type="dxa"/>
            <w:tcBorders/>
            <w:vAlign w:val="bottom"/>
          </w:tcPr>
          <w:p>
            <w:pPr>
              <w:pStyle w:val="TableContents"/>
              <w:bidi w:val="0"/>
              <w:spacing w:before="0" w:after="283"/>
              <w:jc w:val="left"/>
              <w:rPr/>
            </w:pPr>
            <w:r>
              <w:rPr/>
              <w:t> </w:t>
            </w:r>
          </w:p>
        </w:tc>
      </w:tr>
      <w:tr>
        <w:trPr/>
        <w:tc>
          <w:tcPr>
            <w:tcW w:w="5299"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10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129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Each increase or decrease of 1.0 million shares in the number of shares of our common stock offered in this offering would increase or decrease, as applicable, each of our pro forma as adjusted cash, cash equivalents and marketable securities, additional paid-in capital,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total stockholders’ equity (deficit) and total capitalization by approximately $15.8 million, assuming the expected initial public offering price remains the same and after deducting the estimated underwriting discounts and commissions and estimated offering expenses payable by us.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the underwriters exercise their over-allotment option in full, our pro forma as adjusted cash, cash equivalents, and marketable securities, additional paid-in capital, total stockholders’ equity (deficit), total capitalization, and shares of common stock outstanding as of March 31, 2026 would be $439.3 million, $567.8 million, $438.2 million, $438.2 million, and 45,579,017 shares, respectively. </w:t>
      </w:r>
    </w:p>
    <w:p>
      <w:pPr>
        <w:pStyle w:val="TextBody"/>
        <w:bidi w:val="0"/>
        <w:spacing w:before="240" w:after="0"/>
        <w:jc w:val="both"/>
        <w:rPr>
          <w:rFonts w:ascii="Times New Roman" w:hAnsi="Times New Roman"/>
          <w:sz w:val="20"/>
        </w:rPr>
      </w:pPr>
      <w:r>
        <w:rPr>
          <w:rFonts w:ascii="Times New Roman" w:hAnsi="Times New Roman"/>
          <w:sz w:val="20"/>
        </w:rPr>
        <w:t xml:space="preserve">The number of shares of our common stock to be outstanding after this offering on a pro forma and pro forma as adjusted basis set forth in the table above is based on (i) 4,511,041 shares of our common stock outstanding as of March 31, 2026, including 315,673 shares of unvested restricted stock subject to repurchase and (ii) the automatic conversion of all shares of our outstanding convertible redeemable preferred stock as of March 31, 2026 into an aggregate of 21,517,976 shares of our common stock in connection with the completion of this offering,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2,704,695 shares of our common stock issuable upon the exercise of stock options outstanding as of March 31, 2026 under our 2023 Plan, with a weighted-average exercise price of $4.03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87,914 shares of our common stock issuable upon the exercise of stock options granted after March 31, 2026 under our 2023 Plan, with a weighted-average exercise price of $9.07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5,283,264 shares of our common stock reserved for future issuance under our 2026 Plan, which will become effective in connection with this offering (including 383,264 shares reserved for issuance under our 2023 Plan, which shares will be added to the 2026 Plan upon its effectiveness, and 1,642,700 shares of common stock issuable upon the exercise of options we expect to grant to certain of our directors, executive officers, other employees and consultants pursuant to the 2026 Plan immediately following effectiveness of the registration statement of which this prospectus forms a part at an exercise price equal to the initial public offering price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410,000 shares of our common stock to be reserved for future issuance under our ESPP, which will become effective in connection with this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0" w:name="tx40469_8"/>
      <w:bookmarkEnd w:id="10"/>
      <w:r>
        <w:rPr>
          <w:rFonts w:ascii="Times New Roman" w:hAnsi="Times New Roman"/>
          <w:b/>
          <w:sz w:val="20"/>
        </w:rPr>
        <w:t xml:space="preserve">DILUTION </w:t>
      </w:r>
    </w:p>
    <w:p>
      <w:pPr>
        <w:pStyle w:val="TextBody"/>
        <w:bidi w:val="0"/>
        <w:spacing w:before="240" w:after="0"/>
        <w:jc w:val="both"/>
        <w:rPr>
          <w:rFonts w:ascii="Times New Roman" w:hAnsi="Times New Roman"/>
          <w:sz w:val="20"/>
        </w:rPr>
      </w:pPr>
      <w:r>
        <w:rPr>
          <w:rFonts w:ascii="Times New Roman" w:hAnsi="Times New Roman"/>
          <w:sz w:val="20"/>
        </w:rPr>
        <w:t xml:space="preserve">If you invest in our common stock in this offering, your ownership interest will be immediately diluted to the extent of the difference between the initial public offering price per share of our common stock in this offering and the pro forma as adjusted net tangible book value per share of our common stock immediately after this offering. </w:t>
      </w:r>
    </w:p>
    <w:p>
      <w:pPr>
        <w:pStyle w:val="TextBody"/>
        <w:bidi w:val="0"/>
        <w:spacing w:before="240" w:after="0"/>
        <w:jc w:val="both"/>
        <w:rPr>
          <w:rFonts w:ascii="Times New Roman" w:hAnsi="Times New Roman"/>
          <w:sz w:val="20"/>
        </w:rPr>
      </w:pPr>
      <w:r>
        <w:rPr>
          <w:rFonts w:ascii="Times New Roman" w:hAnsi="Times New Roman"/>
          <w:sz w:val="20"/>
        </w:rPr>
        <w:t xml:space="preserve">Net tangible book value (deficit) per share is determined by dividing our total tangible assets (which excludes deferred offering costs) less our total liabilities and redeemable convertible preferred stock by the number of shares of our common stock outstanding. Our historical net tangible book value (deficit) as of March 31, 2026 was $(127.0) million, or $(28.15) per share, based on 4,511,041 shares of our common stock outstanding as of that date. </w:t>
      </w:r>
    </w:p>
    <w:p>
      <w:pPr>
        <w:pStyle w:val="TextBody"/>
        <w:bidi w:val="0"/>
        <w:spacing w:before="240" w:after="0"/>
        <w:jc w:val="both"/>
        <w:rPr>
          <w:rFonts w:ascii="Times New Roman" w:hAnsi="Times New Roman"/>
          <w:sz w:val="20"/>
        </w:rPr>
      </w:pPr>
      <w:r>
        <w:rPr>
          <w:rFonts w:ascii="Times New Roman" w:hAnsi="Times New Roman"/>
          <w:sz w:val="20"/>
        </w:rPr>
        <w:t xml:space="preserve">After giving effect to the automatic conversion of all outstanding shares of our redeemable convertible preferred stock as of March 31, 2026 into an aggregate of 21,517,976 shares of our common stock and the related reclassification of the carrying value of the redeemable convertible preferred stock to permanent equity in connection with the completion of this offering, our pro forma net tangible book value as of March 31, 2026 was $131.2 million, or $5.04 per share of our common stock. </w:t>
      </w:r>
    </w:p>
    <w:p>
      <w:pPr>
        <w:pStyle w:val="TextBody"/>
        <w:bidi w:val="0"/>
        <w:spacing w:before="240" w:after="0"/>
        <w:jc w:val="both"/>
        <w:rPr>
          <w:rFonts w:ascii="Times New Roman" w:hAnsi="Times New Roman"/>
          <w:sz w:val="20"/>
        </w:rPr>
      </w:pPr>
      <w:r>
        <w:rPr>
          <w:rFonts w:ascii="Times New Roman" w:hAnsi="Times New Roman"/>
          <w:sz w:val="20"/>
        </w:rPr>
        <w:t xml:space="preserve">After giving further effect to the sale and issuance of 17,000,000 shares of common stock in this offering at an expected initial public offering price of $17.00 per share, and after deducting the estimated underwriting discounts and commissions and estimated offering expenses payable by us, our pro forma as adjusted net tangible book value as of March 31, 2026 would have been $397.8 million, or approximately $9.25 per share. This amount represents an immediate increase in pro forma net tangible book value of $4.21 per share to our existing stockholders and an immediate dilution in pro forma net tangible book value of approximately $7.75 per share to new investors participating in this offering. </w:t>
      </w:r>
    </w:p>
    <w:p>
      <w:pPr>
        <w:pStyle w:val="TextBody"/>
        <w:bidi w:val="0"/>
        <w:spacing w:before="240" w:after="0"/>
        <w:jc w:val="both"/>
        <w:rPr>
          <w:rFonts w:ascii="Times New Roman" w:hAnsi="Times New Roman"/>
          <w:sz w:val="20"/>
        </w:rPr>
      </w:pPr>
      <w:r>
        <w:rPr>
          <w:rFonts w:ascii="Times New Roman" w:hAnsi="Times New Roman"/>
          <w:sz w:val="20"/>
        </w:rPr>
        <w:t xml:space="preserve">Dilution per share to new investors is determined by subtracting pro forma as adjusted net tangible book value per share after this offering from the initial public offering price per share paid by new investors. The following table illustrates this dilution (without giving effect to any exercise by the underwriters of their over-allotment option):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970"/>
        <w:gridCol w:w="240"/>
        <w:gridCol w:w="140"/>
        <w:gridCol w:w="700"/>
        <w:gridCol w:w="173"/>
        <w:gridCol w:w="206"/>
        <w:gridCol w:w="140"/>
        <w:gridCol w:w="572"/>
        <w:gridCol w:w="64"/>
      </w:tblGrid>
      <w:tr>
        <w:trPr/>
        <w:tc>
          <w:tcPr>
            <w:tcW w:w="7970"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9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initial public offering price per share</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00"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17.00</w:t>
            </w:r>
          </w:p>
        </w:tc>
        <w:tc>
          <w:tcPr>
            <w:tcW w:w="64" w:type="dxa"/>
            <w:tcBorders/>
            <w:shd w:fill="CCEEFF" w:val="clear"/>
            <w:vAlign w:val="bottom"/>
          </w:tcPr>
          <w:p>
            <w:pPr>
              <w:pStyle w:val="TableContents"/>
              <w:bidi w:val="0"/>
              <w:spacing w:before="0" w:after="283"/>
              <w:jc w:val="left"/>
              <w:rPr/>
            </w:pPr>
            <w:r>
              <w:rPr/>
              <w:t> </w:t>
            </w:r>
          </w:p>
        </w:tc>
      </w:tr>
      <w:tr>
        <w:trPr/>
        <w:tc>
          <w:tcPr>
            <w:tcW w:w="7970" w:type="dxa"/>
            <w:tcBorders/>
          </w:tcPr>
          <w:p>
            <w:pPr>
              <w:pStyle w:val="TableContents"/>
              <w:bidi w:val="0"/>
              <w:spacing w:before="0" w:after="0"/>
              <w:jc w:val="left"/>
              <w:rPr>
                <w:rFonts w:ascii="Times New Roman" w:hAnsi="Times New Roman"/>
                <w:sz w:val="20"/>
              </w:rPr>
            </w:pPr>
            <w:r>
              <w:rPr>
                <w:rFonts w:ascii="Times New Roman" w:hAnsi="Times New Roman"/>
                <w:sz w:val="20"/>
              </w:rPr>
              <w:t>Historical net tangible book value (deficit) per share as of March 31, 2026</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00" w:type="dxa"/>
            <w:tcBorders/>
            <w:vAlign w:val="bottom"/>
          </w:tcPr>
          <w:p>
            <w:pPr>
              <w:pStyle w:val="TableContents"/>
              <w:bidi w:val="0"/>
              <w:spacing w:before="0" w:after="283"/>
              <w:jc w:val="right"/>
              <w:rPr/>
            </w:pPr>
            <w:r>
              <w:rPr/>
              <w:t>(28.15</w:t>
            </w:r>
          </w:p>
        </w:tc>
        <w:tc>
          <w:tcPr>
            <w:tcW w:w="173"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9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increase in historical net tangible book value per share as of March 31, 2026 attributable to the pro forma adjustments described above</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33.19</w:t>
            </w:r>
          </w:p>
        </w:tc>
        <w:tc>
          <w:tcPr>
            <w:tcW w:w="173"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970"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970"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tangible book value per share as of March 31, 2026</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5.04</w:t>
            </w:r>
          </w:p>
        </w:tc>
        <w:tc>
          <w:tcPr>
            <w:tcW w:w="173"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9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pro forma net tangible book value per share attributable to new investors participating in this offering</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4.21</w:t>
            </w:r>
          </w:p>
        </w:tc>
        <w:tc>
          <w:tcPr>
            <w:tcW w:w="173"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970"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970" w:type="dxa"/>
            <w:tcBorders/>
          </w:tcPr>
          <w:p>
            <w:pPr>
              <w:pStyle w:val="TableContents"/>
              <w:bidi w:val="0"/>
              <w:spacing w:before="0" w:after="0"/>
              <w:jc w:val="left"/>
              <w:rPr>
                <w:rFonts w:ascii="Times New Roman" w:hAnsi="Times New Roman"/>
                <w:sz w:val="20"/>
              </w:rPr>
            </w:pPr>
            <w:r>
              <w:rPr>
                <w:rFonts w:ascii="Times New Roman" w:hAnsi="Times New Roman"/>
                <w:sz w:val="20"/>
              </w:rPr>
              <w:t>Pro forma as adjusted net tangible book value per share after this offering</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00"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9.25</w:t>
            </w:r>
          </w:p>
        </w:tc>
        <w:tc>
          <w:tcPr>
            <w:tcW w:w="64" w:type="dxa"/>
            <w:tcBorders/>
            <w:vAlign w:val="bottom"/>
          </w:tcPr>
          <w:p>
            <w:pPr>
              <w:pStyle w:val="TableContents"/>
              <w:bidi w:val="0"/>
              <w:spacing w:before="0" w:after="283"/>
              <w:jc w:val="left"/>
              <w:rPr/>
            </w:pPr>
            <w:r>
              <w:rPr/>
              <w:t> </w:t>
            </w:r>
          </w:p>
        </w:tc>
      </w:tr>
      <w:tr>
        <w:trPr/>
        <w:tc>
          <w:tcPr>
            <w:tcW w:w="7970"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00"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9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 participating in this offering</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00"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7.75</w:t>
            </w:r>
          </w:p>
        </w:tc>
        <w:tc>
          <w:tcPr>
            <w:tcW w:w="64" w:type="dxa"/>
            <w:tcBorders/>
            <w:shd w:fill="CCEEFF" w:val="clear"/>
            <w:vAlign w:val="bottom"/>
          </w:tcPr>
          <w:p>
            <w:pPr>
              <w:pStyle w:val="TableContents"/>
              <w:bidi w:val="0"/>
              <w:spacing w:before="0" w:after="283"/>
              <w:jc w:val="left"/>
              <w:rPr/>
            </w:pPr>
            <w:r>
              <w:rPr/>
              <w:t> </w:t>
            </w:r>
          </w:p>
        </w:tc>
      </w:tr>
      <w:tr>
        <w:trPr/>
        <w:tc>
          <w:tcPr>
            <w:tcW w:w="7970"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00"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Each increase of 1.0 million shares in the number of shares of our common stock offered in this offering would increase our pro forma as adjusted net tangible book value by approximately $15.8 million, or approximately $0.15 per share, and would decrease dilution per share to new investors in this offering by approximately $0.15 per share. Each decrease of 1.0 million shares in the number of shares of our common stock offered in this offering would decrease our pro forma as adjusted net tangible book value by approximately $15.8 million, or approximately $0.16 per share, and would increase dilution per share to new investors in this offering by approximately $0.16 per share, assuming the expected initial public offering price per share remains the same and after deducting the estimated underwriting discounts and commissions and estimated offering expenses payable by us. The pro forma as adjusted information is illustrative only, and we will adjust this information based on the actual initial public offering price and other terms of this offering determined at pricing.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If the underwriters exercise their over-allotment option in full, the immediate dilution in pro forma as adjusted net tangible book value will be $7.39 per share to new investors, assuming an initial public offering price of $17.00 per share.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shows, as of March 31, 2026, on a pro forma as adjusted basis described above, the differences between the existing stockholders and the new investors purchasing shares in this offering at the expected initial public offering price of $17.00 per share with respect to the number of shares purchased from us, the total consideration paid, which includes net proceeds received from the issuance of common and redeemable convertible preferred stock and cash received from the exercise of stock options, and the weighted-average price paid per share: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38"/>
        <w:gridCol w:w="182"/>
        <w:gridCol w:w="60"/>
        <w:gridCol w:w="1180"/>
        <w:gridCol w:w="60"/>
        <w:gridCol w:w="182"/>
        <w:gridCol w:w="77"/>
        <w:gridCol w:w="777"/>
        <w:gridCol w:w="275"/>
        <w:gridCol w:w="130"/>
        <w:gridCol w:w="140"/>
        <w:gridCol w:w="1322"/>
        <w:gridCol w:w="60"/>
        <w:gridCol w:w="181"/>
        <w:gridCol w:w="77"/>
        <w:gridCol w:w="777"/>
        <w:gridCol w:w="275"/>
        <w:gridCol w:w="130"/>
        <w:gridCol w:w="222"/>
        <w:gridCol w:w="891"/>
        <w:gridCol w:w="69"/>
      </w:tblGrid>
      <w:tr>
        <w:trPr/>
        <w:tc>
          <w:tcPr>
            <w:tcW w:w="3138"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138"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233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Purchased</w:t>
            </w:r>
          </w:p>
        </w:tc>
        <w:tc>
          <w:tcPr>
            <w:tcW w:w="27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55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 Consideration</w:t>
            </w:r>
          </w:p>
        </w:tc>
        <w:tc>
          <w:tcPr>
            <w:tcW w:w="275" w:type="dxa"/>
            <w:tcBorders/>
            <w:vAlign w:val="bottom"/>
          </w:tcPr>
          <w:p>
            <w:pPr>
              <w:pStyle w:val="TableContents"/>
              <w:bidi w:val="0"/>
              <w:spacing w:before="0" w:after="283"/>
              <w:jc w:val="left"/>
              <w:rPr/>
            </w:pPr>
            <w:r>
              <w:rPr/>
              <w:t> </w:t>
            </w:r>
          </w:p>
        </w:tc>
        <w:tc>
          <w:tcPr>
            <w:tcW w:w="130" w:type="dxa"/>
            <w:vMerge w:val="restart"/>
            <w:tcBorders/>
            <w:vAlign w:val="bottom"/>
          </w:tcPr>
          <w:p>
            <w:pPr>
              <w:pStyle w:val="TableContents"/>
              <w:bidi w:val="0"/>
              <w:spacing w:before="0" w:after="283"/>
              <w:jc w:val="left"/>
              <w:rPr/>
            </w:pPr>
            <w:r>
              <w:rPr/>
              <w:t> </w:t>
            </w:r>
          </w:p>
        </w:tc>
        <w:tc>
          <w:tcPr>
            <w:tcW w:w="1113"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Price Per</w:t>
              <w:br/>
              <w:t>Share</w:t>
            </w:r>
          </w:p>
        </w:tc>
        <w:tc>
          <w:tcPr>
            <w:tcW w:w="69" w:type="dxa"/>
            <w:vMerge w:val="restart"/>
            <w:tcBorders/>
            <w:vAlign w:val="bottom"/>
          </w:tcPr>
          <w:p>
            <w:pPr>
              <w:pStyle w:val="TableContents"/>
              <w:bidi w:val="0"/>
              <w:spacing w:before="0" w:after="283"/>
              <w:jc w:val="left"/>
              <w:rPr/>
            </w:pPr>
            <w:r>
              <w:rPr/>
              <w:t> </w:t>
            </w:r>
          </w:p>
        </w:tc>
      </w:tr>
      <w:tr>
        <w:trPr/>
        <w:tc>
          <w:tcPr>
            <w:tcW w:w="3138"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5" w:type="dxa"/>
            <w:tcBorders/>
            <w:vAlign w:val="bottom"/>
          </w:tcPr>
          <w:p>
            <w:pPr>
              <w:pStyle w:val="TableContents"/>
              <w:bidi w:val="0"/>
              <w:spacing w:before="0" w:after="283"/>
              <w:jc w:val="left"/>
              <w:rPr/>
            </w:pPr>
            <w:r>
              <w:rPr/>
              <w:t> </w:t>
            </w:r>
          </w:p>
        </w:tc>
        <w:tc>
          <w:tcPr>
            <w:tcW w:w="130" w:type="dxa"/>
            <w:vMerge w:val="continue"/>
            <w:tcBorders/>
            <w:vAlign w:val="bottom"/>
          </w:tcPr>
          <w:p>
            <w:pPr>
              <w:pStyle w:val="Normal"/>
              <w:bidi w:val="0"/>
              <w:jc w:val="left"/>
              <w:rPr/>
            </w:pPr>
            <w:r>
              <w:rPr/>
            </w:r>
          </w:p>
        </w:tc>
        <w:tc>
          <w:tcPr>
            <w:tcW w:w="1113" w:type="dxa"/>
            <w:gridSpan w:val="2"/>
            <w:vMerge w:val="continue"/>
            <w:tcBorders>
              <w:bottom w:val="single" w:sz="8" w:space="0" w:color="000000"/>
            </w:tcBorders>
            <w:tcMar>
              <w:bottom w:w="28" w:type="dxa"/>
            </w:tcMar>
            <w:vAlign w:val="bottom"/>
          </w:tcPr>
          <w:p>
            <w:pPr>
              <w:pStyle w:val="Normal"/>
              <w:bidi w:val="0"/>
              <w:jc w:val="left"/>
              <w:rPr/>
            </w:pPr>
            <w:r>
              <w:rPr/>
            </w:r>
          </w:p>
        </w:tc>
        <w:tc>
          <w:tcPr>
            <w:tcW w:w="69" w:type="dxa"/>
            <w:vMerge w:val="continue"/>
            <w:tcBorders/>
            <w:vAlign w:val="bottom"/>
          </w:tcPr>
          <w:p>
            <w:pPr>
              <w:pStyle w:val="Normal"/>
              <w:bidi w:val="0"/>
              <w:jc w:val="left"/>
              <w:rPr/>
            </w:pPr>
            <w:r>
              <w:rPr/>
            </w:r>
          </w:p>
        </w:tc>
      </w:tr>
      <w:tr>
        <w:trPr/>
        <w:tc>
          <w:tcPr>
            <w:tcW w:w="31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Existing stockholders before this offering</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26,029,017</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60.5</w:t>
            </w:r>
          </w:p>
        </w:tc>
        <w:tc>
          <w:tcPr>
            <w:tcW w:w="27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22" w:type="dxa"/>
            <w:tcBorders/>
            <w:shd w:fill="CCEEFF" w:val="clear"/>
            <w:vAlign w:val="bottom"/>
          </w:tcPr>
          <w:p>
            <w:pPr>
              <w:pStyle w:val="TableContents"/>
              <w:bidi w:val="0"/>
              <w:spacing w:before="0" w:after="283"/>
              <w:jc w:val="right"/>
              <w:rPr/>
            </w:pPr>
            <w:r>
              <w:rPr/>
              <w:t>256,366,542</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47.0</w:t>
            </w:r>
          </w:p>
        </w:tc>
        <w:tc>
          <w:tcPr>
            <w:tcW w:w="27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891" w:type="dxa"/>
            <w:tcBorders/>
            <w:shd w:fill="CCEEFF" w:val="clear"/>
            <w:vAlign w:val="bottom"/>
          </w:tcPr>
          <w:p>
            <w:pPr>
              <w:pStyle w:val="TableContents"/>
              <w:bidi w:val="0"/>
              <w:spacing w:before="0" w:after="283"/>
              <w:jc w:val="right"/>
              <w:rPr/>
            </w:pPr>
            <w:r>
              <w:rPr/>
              <w:t>9.85</w:t>
            </w:r>
          </w:p>
        </w:tc>
        <w:tc>
          <w:tcPr>
            <w:tcW w:w="69" w:type="dxa"/>
            <w:tcBorders/>
            <w:shd w:fill="CCEEFF" w:val="clear"/>
            <w:vAlign w:val="bottom"/>
          </w:tcPr>
          <w:p>
            <w:pPr>
              <w:pStyle w:val="TableContents"/>
              <w:bidi w:val="0"/>
              <w:spacing w:before="0" w:after="283"/>
              <w:jc w:val="left"/>
              <w:rPr/>
            </w:pPr>
            <w:r>
              <w:rPr/>
              <w:t> </w:t>
            </w:r>
          </w:p>
        </w:tc>
      </w:tr>
      <w:tr>
        <w:trPr/>
        <w:tc>
          <w:tcPr>
            <w:tcW w:w="3138" w:type="dxa"/>
            <w:tcBorders/>
          </w:tcPr>
          <w:p>
            <w:pPr>
              <w:pStyle w:val="TableContents"/>
              <w:bidi w:val="0"/>
              <w:spacing w:before="0" w:after="0"/>
              <w:jc w:val="left"/>
              <w:rPr>
                <w:rFonts w:ascii="Times New Roman" w:hAnsi="Times New Roman"/>
                <w:sz w:val="20"/>
              </w:rPr>
            </w:pPr>
            <w:r>
              <w:rPr>
                <w:rFonts w:ascii="Times New Roman" w:hAnsi="Times New Roman"/>
                <w:sz w:val="20"/>
              </w:rPr>
              <w:t>New investors participating in this offering</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17,000,000</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39.5</w:t>
            </w:r>
          </w:p>
        </w:tc>
        <w:tc>
          <w:tcPr>
            <w:tcW w:w="27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22" w:type="dxa"/>
            <w:tcBorders/>
            <w:vAlign w:val="bottom"/>
          </w:tcPr>
          <w:p>
            <w:pPr>
              <w:pStyle w:val="TableContents"/>
              <w:bidi w:val="0"/>
              <w:spacing w:before="0" w:after="283"/>
              <w:jc w:val="right"/>
              <w:rPr/>
            </w:pPr>
            <w:r>
              <w:rPr/>
              <w:t>289,000,000</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53.0</w:t>
            </w:r>
          </w:p>
        </w:tc>
        <w:tc>
          <w:tcPr>
            <w:tcW w:w="27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891" w:type="dxa"/>
            <w:tcBorders/>
            <w:vAlign w:val="bottom"/>
          </w:tcPr>
          <w:p>
            <w:pPr>
              <w:pStyle w:val="TableContents"/>
              <w:bidi w:val="0"/>
              <w:spacing w:before="0" w:after="283"/>
              <w:jc w:val="right"/>
              <w:rPr/>
            </w:pPr>
            <w:r>
              <w:rPr/>
              <w:t>17.00</w:t>
            </w:r>
          </w:p>
        </w:tc>
        <w:tc>
          <w:tcPr>
            <w:tcW w:w="69" w:type="dxa"/>
            <w:tcBorders/>
            <w:vAlign w:val="bottom"/>
          </w:tcPr>
          <w:p>
            <w:pPr>
              <w:pStyle w:val="TableContents"/>
              <w:bidi w:val="0"/>
              <w:spacing w:before="0" w:after="283"/>
              <w:jc w:val="left"/>
              <w:rPr/>
            </w:pPr>
            <w:r>
              <w:rPr/>
              <w:t> </w:t>
            </w:r>
          </w:p>
        </w:tc>
      </w:tr>
      <w:tr>
        <w:trPr/>
        <w:tc>
          <w:tcPr>
            <w:tcW w:w="3138"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891"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313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0"/>
              <w:jc w:val="both"/>
              <w:rPr>
                <w:rFonts w:ascii="Times New Roman" w:hAnsi="Times New Roman"/>
                <w:sz w:val="20"/>
              </w:rPr>
            </w:pPr>
            <w:r>
              <w:rPr>
                <w:rFonts w:ascii="Times New Roman" w:hAnsi="Times New Roman"/>
                <w:sz w:val="20"/>
              </w:rPr>
              <w:t>43,029,017</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22" w:type="dxa"/>
            <w:tcBorders/>
            <w:shd w:fill="CCEEFF" w:val="clear"/>
            <w:vAlign w:val="bottom"/>
          </w:tcPr>
          <w:p>
            <w:pPr>
              <w:pStyle w:val="TableContents"/>
              <w:bidi w:val="0"/>
              <w:spacing w:before="0" w:after="283"/>
              <w:jc w:val="right"/>
              <w:rPr/>
            </w:pPr>
            <w:r>
              <w:rPr/>
              <w:t>545,366,542</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3138"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double" w:sz="6" w:space="1" w:color="000000"/>
              </w:pBdr>
              <w:bidi w:val="0"/>
              <w:spacing w:before="0" w:after="0"/>
              <w:jc w:val="left"/>
              <w:rPr/>
            </w:pPr>
            <w:r>
              <w:rPr/>
              <w:t> </w:t>
            </w:r>
          </w:p>
        </w:tc>
        <w:tc>
          <w:tcPr>
            <w:tcW w:w="777"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double" w:sz="6" w:space="1" w:color="000000"/>
              </w:pBdr>
              <w:bidi w:val="0"/>
              <w:spacing w:before="0" w:after="0"/>
              <w:jc w:val="left"/>
              <w:rPr/>
            </w:pPr>
            <w:r>
              <w:rPr/>
              <w:t> </w:t>
            </w:r>
          </w:p>
        </w:tc>
        <w:tc>
          <w:tcPr>
            <w:tcW w:w="777"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891"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both"/>
        <w:rPr>
          <w:rFonts w:ascii="Times New Roman" w:hAnsi="Times New Roman"/>
          <w:sz w:val="20"/>
        </w:rPr>
      </w:pPr>
      <w:r>
        <w:rPr>
          <w:rFonts w:ascii="Times New Roman" w:hAnsi="Times New Roman"/>
          <w:sz w:val="20"/>
        </w:rPr>
        <w:t xml:space="preserve">Each increase or decrease of 1.0 million shares in the number of shares of our common stock offered in this offering would increase or decrease, as applicable, total consideration paid by new investors and total consideration paid by all stockholders by approximately $17.0 million, assuming the expected initial public offering price remains the same. </w:t>
      </w:r>
    </w:p>
    <w:p>
      <w:pPr>
        <w:pStyle w:val="TextBody"/>
        <w:bidi w:val="0"/>
        <w:spacing w:before="240" w:after="0"/>
        <w:jc w:val="both"/>
        <w:rPr>
          <w:rFonts w:ascii="Times New Roman" w:hAnsi="Times New Roman"/>
          <w:sz w:val="20"/>
        </w:rPr>
      </w:pPr>
      <w:r>
        <w:rPr>
          <w:rFonts w:ascii="Times New Roman" w:hAnsi="Times New Roman"/>
          <w:sz w:val="20"/>
        </w:rPr>
        <w:t xml:space="preserve">In addition, to the extent that any outstanding options are exercised, investors in this offering will experience further dilution. </w:t>
      </w:r>
    </w:p>
    <w:p>
      <w:pPr>
        <w:pStyle w:val="TextBody"/>
        <w:bidi w:val="0"/>
        <w:spacing w:before="240" w:after="0"/>
        <w:jc w:val="both"/>
        <w:rPr>
          <w:rFonts w:ascii="Times New Roman" w:hAnsi="Times New Roman"/>
          <w:sz w:val="20"/>
        </w:rPr>
      </w:pPr>
      <w:r>
        <w:rPr>
          <w:rFonts w:ascii="Times New Roman" w:hAnsi="Times New Roman"/>
          <w:sz w:val="20"/>
        </w:rPr>
        <w:t xml:space="preserve">Except as otherwise indicated, the above discussion and tables assume no exercise of the underwriters’ over-allotment option. If the underwriters exercise their over-allotment option in full, our existing stockholders would own 57.1% and our new investors would own 42.9% of the total number of shares of our common stock outstanding upon the completion of this offering. </w:t>
      </w:r>
    </w:p>
    <w:p>
      <w:pPr>
        <w:pStyle w:val="TextBody"/>
        <w:bidi w:val="0"/>
        <w:spacing w:before="240" w:after="0"/>
        <w:jc w:val="both"/>
        <w:rPr>
          <w:rFonts w:ascii="Times New Roman" w:hAnsi="Times New Roman"/>
          <w:sz w:val="20"/>
        </w:rPr>
      </w:pPr>
      <w:r>
        <w:rPr>
          <w:rFonts w:ascii="Times New Roman" w:hAnsi="Times New Roman"/>
          <w:sz w:val="20"/>
        </w:rPr>
        <w:t xml:space="preserve">The foregoing tables and calculations (other than historical net tangible book value) are based on (i) 4,511,041 shares of our common stock outstanding as of March 31, 2026, including 315,673 shares of unvested restricted stock subject to repurchase and (ii) the automatic conversion of all shares of our outstanding redeemable convertible preferred stock as of March 31, 2026 into an aggregate of 21,517,976 shares of our common stock in connection with the completion of this offering,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2,704,695 shares of our common stock issuable upon the exercise of stock options outstanding as of March 31, 2026 under our 2023 Plan, with a weighted-average exercise price of $4.03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87,914 shares of our common stock issuable upon the exercise of stock options granted after March 31, 2026 under our 2023 Plan, with a weighted-average exercise price of $9.07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5,283,264 shares of our common stock reserved for future issuance under our 2026 Plan, which will become effective in connection with this offering (including 383,264 shares reserved for issuance under our 2023 Plan, which shares will be added to the 2026 Plan upon its effectiveness), and 1,642,700 shares of common stock issuable upon the exercise of options we expect to grant to certain of our directors, executive officers, other employees and consultants pursuant to the 2026 Plan immediately following effectiveness of the registration statement of which this prospectus forms a part at an exercise price equal to the initial public offering price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410,000 shares of our common stock to be reserved for future issuance under our ESPP, which will become effective in connection with this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To the extent that these outstanding stock options are exercised, new stock options are issued or we issue additional shares of our common stock in the future, there will be further dilution to new investors.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1" w:name="tx40469_9"/>
      <w:bookmarkEnd w:id="11"/>
      <w:r>
        <w:rPr>
          <w:rFonts w:ascii="Times New Roman" w:hAnsi="Times New Roman"/>
          <w:b/>
          <w:sz w:val="20"/>
        </w:rPr>
        <w:t xml:space="preserve">MANAGEMENT’S DISCUSSION AND ANALYSIS OF FINANCIAL CONDITION AND RESULTS OF OPERATIONS </w:t>
      </w:r>
    </w:p>
    <w:p>
      <w:pPr>
        <w:pStyle w:val="TextBody"/>
        <w:bidi w:val="0"/>
        <w:spacing w:before="240" w:after="0"/>
        <w:jc w:val="both"/>
        <w:rPr>
          <w:rFonts w:ascii="Times New Roman" w:hAnsi="Times New Roman"/>
          <w:i/>
          <w:sz w:val="20"/>
        </w:rPr>
      </w:pPr>
      <w:r>
        <w:rPr>
          <w:rFonts w:ascii="Times New Roman" w:hAnsi="Times New Roman"/>
          <w:i/>
          <w:sz w:val="20"/>
        </w:rPr>
        <w:t xml:space="preserve">You should read the following discussion and analysis of our financial condition and results of operations in conjunction with our audited consolidated financial statements and the related notes, our unaudited interim condensed consolidated financial statements and the related notes, and other financial information included elsewhere in this prospectus. This discussion and analysis and other parts of this prospectus contain forward-looking statements based upon our current plans and expectations that involve risks, uncertainties and assumptions, such as statements regarding our plans, objectives, expectations, intentions and beliefs. Our actual results and the timing of events could differ materially from those anticipated in these forward-looking statements as a result of various factors, including those set forth under the section titled “Risk Factors” and elsewhere in this prospectus. You should carefully read the section titled “Risk Factors” to gain an understanding of the important factors that could cause actual results to differ materially from our forward-looking statements. Please also see the section titled “Special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both"/>
        <w:rPr>
          <w:rFonts w:ascii="Times New Roman" w:hAnsi="Times New Roman"/>
          <w:sz w:val="20"/>
        </w:rPr>
      </w:pPr>
      <w:r>
        <w:rPr>
          <w:rFonts w:ascii="Times New Roman" w:hAnsi="Times New Roman"/>
          <w:sz w:val="20"/>
        </w:rPr>
        <w:t xml:space="preserve">We are a clinical-stage biopharmaceutical company developing next-generation biotherapeutics for immune-mediated diseases with high unmet need. Our lead pipeline candidates target commercially validated pathways and are designed through our ATTOBODY biologics platform to deliver improved treatments relative to the current standards of care. Leveraging our ATTOBODY platform, we have nominated three product candidates within our first two years, including one currently in the clinic, ATTO-1310. ATTO-1310 is an ATTOBODY-based therapeutic targeting interleukin-31 (IL-31) that completed dosing in a Phase 1 clinical trial in healthy volunteers and patients in the first quarter of 2026. ATTO-2306 is an ATTOBODY-based bispecific targeting interleukin-13 (IL-13) and IL-31 that is in IND-enabling studies, and we expect to commence a Phase 1 clinical trial in the first half of 2027. Lastly, ATTO-1091 is our trispecific ATTOBODY-based Fc fusion protein that is designed to block TL1A, IL-23 and integrin α4ß7 simultaneously, and is currently in IND-enabling studies. </w:t>
      </w:r>
    </w:p>
    <w:p>
      <w:pPr>
        <w:pStyle w:val="TextBody"/>
        <w:bidi w:val="0"/>
        <w:spacing w:before="240" w:after="0"/>
        <w:jc w:val="both"/>
        <w:rPr>
          <w:rFonts w:ascii="Times New Roman" w:hAnsi="Times New Roman"/>
          <w:sz w:val="20"/>
        </w:rPr>
      </w:pPr>
      <w:r>
        <w:rPr>
          <w:rFonts w:ascii="Times New Roman" w:hAnsi="Times New Roman"/>
          <w:sz w:val="20"/>
        </w:rPr>
        <w:t xml:space="preserve">All of our product candidates have been internally discovered using our ATTOBODY biparatopic biologics platform, which we have in-licensed from Alamar Biosciences, Inc. (Alamar). Our ATTOBODY platform uses an evolution-driven, high-throughput process which allows for rapid discovery and the creation of a high diversity of potential product candidates. Our initial focus for ATTOBODIES has been to develop novel biotherapeutics targeting highly synergistic, clinically and commercially validated pathways where early data indicates the potential of our candidates to deliver next-generation treatments relative to the current standards of care. Our early-stage discovery efforts have further expanded our pipeline to additional complex biologics, including conditional “AND” gate bispecifics directed against novel targets, which are historically difficult to develop with conventional antibody technology. </w:t>
      </w:r>
    </w:p>
    <w:p>
      <w:pPr>
        <w:pStyle w:val="TextBody"/>
        <w:bidi w:val="0"/>
        <w:spacing w:before="240" w:after="0"/>
        <w:jc w:val="both"/>
        <w:rPr>
          <w:rFonts w:ascii="Times New Roman" w:hAnsi="Times New Roman"/>
          <w:sz w:val="20"/>
        </w:rPr>
      </w:pPr>
      <w:r>
        <w:rPr>
          <w:rFonts w:ascii="Times New Roman" w:hAnsi="Times New Roman"/>
          <w:sz w:val="20"/>
        </w:rPr>
        <w:t xml:space="preserve">We were incorporated in December 2022 under the laws of the State of Delaware. We have incurred significant net operating losses and negative cash flows since our inception. Since our inception, we have devoted substantially all of our resources to organizing our company, hiring personnel, business planning, acquiring and developing our product candidates, performing research and development, conducting research, preclinical studies and clinical trials, enabling manufacturing activities in support of our product development efforts, building our platform technologies, establishing, expanding and protecting our intellectual property portfolio, establishing licensing, raising capital, and providing general and administrative support for these operations. We do not have any products approved for sale and have not generated any revenue from product sales. We expect to continue to incur significant and increasing expenses and substantial losses for the foreseeable future as we continue our development of and seek regulatory approvals for our product candidates and commercialize any approved products, seek to expand our product pipeline and invest in our organization. Our ability to achieve and sustain profitability will depend on our ability to successfully develop, obtain regulatory approval for and commercialize our product candidates. There can be no assurance that we will ever generate product revenue or achieve profitability, or if achieved, that the product revenue or profitability will be sustained on a continuing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To date, we have primarily funded our operations with proceeds from sales of shares of our redeemable convertible preferred stock in private placements. As of March 31, 2026, we have received aggregate gross proceeds of $255.8 million from sales of shares of our redeemable convertible preferred stock, which includes aggregate gross proceeds of $52.5 million from the sale of the second tranche of our Series B redeemable convertible preferred stock in January of 2025 and aggregate gross proceeds of $90.0 million from the sale of our Series C redeemable convertible preferred stock in March of 2025. </w:t>
      </w:r>
    </w:p>
    <w:p>
      <w:pPr>
        <w:pStyle w:val="TextBody"/>
        <w:bidi w:val="0"/>
        <w:spacing w:before="240" w:after="0"/>
        <w:jc w:val="both"/>
        <w:rPr>
          <w:rFonts w:ascii="Times New Roman" w:hAnsi="Times New Roman"/>
          <w:sz w:val="20"/>
        </w:rPr>
      </w:pPr>
      <w:r>
        <w:rPr>
          <w:rFonts w:ascii="Times New Roman" w:hAnsi="Times New Roman"/>
          <w:sz w:val="20"/>
        </w:rPr>
        <w:t xml:space="preserve">We have incurred significant losses and negative cash flows from operations since our inception. Our net loss for the years ended December 31, 2024 and 2025 was $39.8 million and $60.6 million, respectively. Our net loss for the three months ended March 31, 2025 and 2026 was $15.2 million and $18.7 million, respectively. As of March 31, 2026, we had an accumulated deficit of $129.7 million. Substantially all of our net losses have resulted from costs incurred in connection with our research and development programs and, to a lesser extent, from general and administrative costs associated with our operations. Our net losses and operating losses may fluctuate from quarter to quarter and year to year depending primarily on the timing of our preclinical studies and clinical trials, our other research and development expenses, and the timing and amount of any milestone or royalty payments due under our existing or future license agreements. </w:t>
      </w:r>
    </w:p>
    <w:p>
      <w:pPr>
        <w:pStyle w:val="TextBody"/>
        <w:bidi w:val="0"/>
        <w:spacing w:before="240" w:after="0"/>
        <w:jc w:val="both"/>
        <w:rPr>
          <w:rFonts w:ascii="Times New Roman" w:hAnsi="Times New Roman"/>
          <w:sz w:val="20"/>
        </w:rPr>
      </w:pPr>
      <w:r>
        <w:rPr>
          <w:rFonts w:ascii="Times New Roman" w:hAnsi="Times New Roman"/>
          <w:sz w:val="20"/>
        </w:rPr>
        <w:t xml:space="preserve">As of March 31, 2026, we had $132.6 million in cash, cash equivalents and marketable securities. Based on our current operating plan, we estimate that our existing cash, cash equivalents and marketable securities, together with the estimated net proceeds from this offering, will be sufficient to fund our projected operating expenses and capital expenditure requirements into 2029. We have based this estimate on our current assumptions, which may prove to be wrong, and we may exhaust our available capital resources sooner than we expect. Our forecast of the period of time through which our financial resources will be adequate to support our operations is a forward-looking statement that involves risks and uncertainties, and actual results could vary materially. </w:t>
      </w:r>
    </w:p>
    <w:p>
      <w:pPr>
        <w:pStyle w:val="TextBody"/>
        <w:bidi w:val="0"/>
        <w:spacing w:before="240" w:after="0"/>
        <w:jc w:val="both"/>
        <w:rPr>
          <w:rFonts w:ascii="Times New Roman" w:hAnsi="Times New Roman"/>
          <w:sz w:val="20"/>
        </w:rPr>
      </w:pPr>
      <w:r>
        <w:rPr>
          <w:rFonts w:ascii="Times New Roman" w:hAnsi="Times New Roman"/>
          <w:sz w:val="20"/>
        </w:rPr>
        <w:t xml:space="preserve">Given our stage of development, we currently have no sales, marketing or commercialization capabilities. However, we intend to build the necessary sales, marketing and commercialization capabilities and infrastructure over time as our product candidates advance through clinical development. We expect to spend a significant amount on development and marketing costs prior to obtaining regulatory and marketing approval of one or more of our product candidates. We expect that our expenses and capital requirements will increase substantially in the near- to mid-term as we continue our development efforts for ATTO-1310 and ATTO-2306, and for our other developmental programs; and add clinical, scientific, sales and marketing, operational and financial personnel, including personnel to support our product development and potential future commercialization activity, and the timing and amount of any milestone or royalty payments due under our existing or future license or collaboration agreements. </w:t>
      </w:r>
    </w:p>
    <w:p>
      <w:pPr>
        <w:pStyle w:val="TextBody"/>
        <w:bidi w:val="0"/>
        <w:spacing w:before="360" w:after="0"/>
        <w:jc w:val="left"/>
        <w:rPr>
          <w:rFonts w:ascii="Times New Roman" w:hAnsi="Times New Roman"/>
          <w:b/>
          <w:sz w:val="20"/>
        </w:rPr>
      </w:pPr>
      <w:r>
        <w:rPr>
          <w:rFonts w:ascii="Times New Roman" w:hAnsi="Times New Roman"/>
          <w:b/>
          <w:sz w:val="20"/>
        </w:rPr>
        <w:t xml:space="preserve">License Agreements </w:t>
      </w:r>
    </w:p>
    <w:p>
      <w:pPr>
        <w:pStyle w:val="TextBody"/>
        <w:bidi w:val="0"/>
        <w:spacing w:before="120" w:after="0"/>
        <w:jc w:val="both"/>
        <w:rPr>
          <w:rFonts w:ascii="Times New Roman" w:hAnsi="Times New Roman"/>
          <w:sz w:val="20"/>
        </w:rPr>
      </w:pPr>
      <w:r>
        <w:rPr>
          <w:rFonts w:ascii="Times New Roman" w:hAnsi="Times New Roman"/>
          <w:b/>
          <w:i/>
          <w:sz w:val="20"/>
        </w:rPr>
        <w:t>Alamar Platform License Agreement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We are party to a Second Amended and Restated Platform License Agreement (the Alamar Platform License Agreement) with Alamar, which is effective as of June 1, 2023. Under the Alamar Platform License Agreement, Alamar granted us a worldwide, non-transferable, sublicensable license to use the antibody engineering platform developed by or on behalf of Alamar (the ATTOBODY Platform) within the therapeutic field (the Alamar License). The Alamar License allows us to identify new molecules or gene codes, research, develop, manufacture, and commercialize new or existing molecules or gene codes identified using the ATTOBODY Platform (Products), and to develop improvements to the ATTOBODY Platform. This license is exclusive in the therapeutic field with respect to Alamar patents and patent applications, and non-exclusive with respect to Alamar know-how. </w:t>
      </w:r>
    </w:p>
    <w:p>
      <w:pPr>
        <w:pStyle w:val="TextBody"/>
        <w:bidi w:val="0"/>
        <w:spacing w:before="240" w:after="0"/>
        <w:jc w:val="both"/>
        <w:rPr>
          <w:rFonts w:ascii="Times New Roman" w:hAnsi="Times New Roman"/>
          <w:sz w:val="20"/>
        </w:rPr>
      </w:pPr>
      <w:r>
        <w:rPr>
          <w:rFonts w:ascii="Times New Roman" w:hAnsi="Times New Roman"/>
          <w:sz w:val="20"/>
        </w:rPr>
        <w:t xml:space="preserve">In connection with the execution of the Alamar Platform License Agreement, on June 1, 2023, we issued 2,428,646 shares of our common stock to Alamar as consideration for the Alamar License. The Alamar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Platform License Agreement requires us to pay Alamar up to $4.3 million per Product in aggregate milestone payments upon the completion of certain clinical and regulatory milestones. The Alamar Platform License Agreement also requires that we pay Alamar tiered royalties in low single digit percentages on net sales of Products on a Product-by-Product basis, subject to certain deductions, provided that if no valid claim covers a Product in a country, then the royalty percentage applicable to net sales in such country shall be reduced to percentages also in the low single digits. </w:t>
      </w:r>
    </w:p>
    <w:p>
      <w:pPr>
        <w:pStyle w:val="TextBody"/>
        <w:bidi w:val="0"/>
        <w:spacing w:before="240" w:after="0"/>
        <w:jc w:val="both"/>
        <w:rPr>
          <w:rFonts w:ascii="Times New Roman" w:hAnsi="Times New Roman"/>
          <w:sz w:val="20"/>
        </w:rPr>
      </w:pPr>
      <w:r>
        <w:rPr>
          <w:rFonts w:ascii="Times New Roman" w:hAnsi="Times New Roman"/>
          <w:sz w:val="20"/>
        </w:rPr>
        <w:t xml:space="preserve">Milestone payments are contingent consideration and are accrued when it becomes probable that the underlying milestone will be achieved. We recorded $0.3 million as research and development expenses in the statement of operations and comprehensive loss during the year ended December 31, 2024, related to the achievement of a development milestone for ATTO-1310. We recorded $0.3 million as research and development expenses in the consolidated statement of operations during the year ended December 31, 2025, related to achievement of a development milestone for ATTO-3712. The remaining milestones were considered not probable to be achieved as of March 31, 2026. Royalties will be recognized as cost of sales when products are sold and royalties are payable. </w:t>
      </w:r>
    </w:p>
    <w:p>
      <w:pPr>
        <w:pStyle w:val="TextBody"/>
        <w:bidi w:val="0"/>
        <w:spacing w:before="360" w:after="0"/>
        <w:jc w:val="both"/>
        <w:rPr>
          <w:rFonts w:ascii="Times New Roman" w:hAnsi="Times New Roman"/>
          <w:b/>
          <w:i/>
          <w:sz w:val="20"/>
        </w:rPr>
      </w:pPr>
      <w:r>
        <w:rPr>
          <w:rFonts w:ascii="Times New Roman" w:hAnsi="Times New Roman"/>
          <w:b/>
          <w:i/>
          <w:sz w:val="20"/>
        </w:rPr>
        <w:t xml:space="preserve">EndPath License Agreement </w:t>
      </w:r>
    </w:p>
    <w:p>
      <w:pPr>
        <w:pStyle w:val="TextBody"/>
        <w:bidi w:val="0"/>
        <w:spacing w:before="120" w:after="0"/>
        <w:jc w:val="both"/>
        <w:rPr>
          <w:rFonts w:ascii="Times New Roman" w:hAnsi="Times New Roman"/>
          <w:sz w:val="20"/>
        </w:rPr>
      </w:pPr>
      <w:r>
        <w:rPr>
          <w:rFonts w:ascii="Times New Roman" w:hAnsi="Times New Roman"/>
          <w:sz w:val="20"/>
        </w:rPr>
        <w:t xml:space="preserve">In July 2025, we entered into a license agreement with EndPath RadioTherapeutics, Inc. (formerly Isotovia Biosciences, Inc.) (EndPath), under which we granted EndPath an exclusive, worldwide license to certain of our ATTOBODY platform technology for radioligand products (the EndPath Agreement) and agreed to perform initial research and development services for two targets. We account for the EndPath Agreement as a customer contract under ASC Topic 606, Revenue from Contracts with Customers (ASC 606) and recognized $1.4 million of collaboration revenue during the year ended December 31, 2025. We may recognize additional revenue in future periods from remaining performance obligations and, if achieved, milestone payments and royalties under the EndPath Agreement. See Note 5 to our audited consolidated financial statements for further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Components of Our Results of Operations </w:t>
      </w:r>
    </w:p>
    <w:p>
      <w:pPr>
        <w:pStyle w:val="TextBody"/>
        <w:bidi w:val="0"/>
        <w:spacing w:before="120" w:after="0"/>
        <w:jc w:val="both"/>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both"/>
        <w:rPr>
          <w:rFonts w:ascii="Times New Roman" w:hAnsi="Times New Roman"/>
          <w:sz w:val="20"/>
        </w:rPr>
      </w:pPr>
      <w:r>
        <w:rPr>
          <w:rFonts w:ascii="Times New Roman" w:hAnsi="Times New Roman"/>
          <w:sz w:val="20"/>
        </w:rPr>
        <w:t xml:space="preserve">We recognize collaboration revenue from the EndPath Agreement for research and development services related to radioligand products. To date, we have not generated any revenue from the sale of products. We do not expect to generate any such revenue unless and until such time as our product candidates have advanced through clinical development and regulatory approval, if ever. If we fail to complete preclinical and clinical development of any product candidates or obtain regulatory approval for them, our ability to generate future product revenues, and our results of operations and financial position would be adversely affected. </w:t>
      </w:r>
    </w:p>
    <w:p>
      <w:pPr>
        <w:pStyle w:val="TextBody"/>
        <w:bidi w:val="0"/>
        <w:spacing w:before="360" w:after="0"/>
        <w:jc w:val="both"/>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both"/>
        <w:rPr>
          <w:rFonts w:ascii="Times New Roman" w:hAnsi="Times New Roman"/>
          <w:sz w:val="20"/>
        </w:rPr>
      </w:pPr>
      <w:r>
        <w:rPr>
          <w:rFonts w:ascii="Times New Roman" w:hAnsi="Times New Roman"/>
          <w:sz w:val="20"/>
        </w:rPr>
        <w:t xml:space="preserve">Our operating expenses consist of (i) research and development expenses and (ii) general and administrative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w:t>
      </w:r>
    </w:p>
    <w:p>
      <w:pPr>
        <w:pStyle w:val="TextBody"/>
        <w:bidi w:val="0"/>
        <w:spacing w:before="120" w:after="0"/>
        <w:jc w:val="both"/>
        <w:rPr>
          <w:rFonts w:ascii="Times New Roman" w:hAnsi="Times New Roman"/>
          <w:sz w:val="20"/>
        </w:rPr>
      </w:pPr>
      <w:r>
        <w:rPr>
          <w:rFonts w:ascii="Times New Roman" w:hAnsi="Times New Roman"/>
          <w:sz w:val="20"/>
        </w:rPr>
        <w:t xml:space="preserve">Research and development expenses consist of external and internal costs primarily related to acquiring our product candidate pipeline and technologies, and preclinical and clinical development of our product candidates. </w:t>
      </w:r>
    </w:p>
    <w:p>
      <w:pPr>
        <w:pStyle w:val="TextBody"/>
        <w:bidi w:val="0"/>
        <w:spacing w:before="240" w:after="0"/>
        <w:jc w:val="both"/>
        <w:rPr>
          <w:rFonts w:ascii="Times New Roman" w:hAnsi="Times New Roman"/>
          <w:sz w:val="20"/>
        </w:rPr>
      </w:pPr>
      <w:r>
        <w:rPr>
          <w:rFonts w:ascii="Times New Roman" w:hAnsi="Times New Roman"/>
          <w:sz w:val="20"/>
        </w:rPr>
        <w:t xml:space="preserve">External costs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costs incurred in connection with the preclinical and clinical development of our product candidates, including under agreements with CROs, CMOs and other third parties that conduct clinical trials and manufacture clinical supplies, product candidates, and components on our behalf;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costs related to compliance with regulatory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costs associated with acquiring technology and intellectual property licenses that have no alternative future uses and costs incurred under in-license agreements, including milestone payments;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costs for third-party professional research and development consulting services.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Internal costs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research and development personnel-related costs, including salaries, benefits, travel and meals expenses and stock-based compensation expense;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allocated facilities and other overhead costs, including software, computer supplies and accessories and other miscellaneous expenses.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expense research and development costs as incurred. Costs of certain activities are recognized based on an evaluation of the progress to completion of specific tasks. However, payments made prior to the receipt of goods or services that will be used or rendered for future research and development activities are deferred and capitalized as prepaid expenses and other current assets on our consolidated balance sheets. The capitalized amounts are recognized as expense as the goods are delivered or as related services are performed. Since our inception and through March 31, 2026, substantially all of our third-party expenses were related to the development of ATTO-1310, ATTO-3712 and ATTO-1091. We do not allocate employee costs, laboratory supplies and facilities, including other internal costs, to specific product candidates because these costs are associated with multiple programs and, as such, are not separately classified. We use internal resources primarily for managing our process development, manufacturing, and clinical development activities. We deploy our personnel across all of our research and development activities and, as our employees work across multiple programs, we do not currently track our costs by product candidate indication. </w:t>
      </w:r>
    </w:p>
    <w:p>
      <w:pPr>
        <w:pStyle w:val="TextBody"/>
        <w:bidi w:val="0"/>
        <w:spacing w:before="240" w:after="0"/>
        <w:jc w:val="both"/>
        <w:rPr>
          <w:rFonts w:ascii="Times New Roman" w:hAnsi="Times New Roman"/>
          <w:sz w:val="20"/>
        </w:rPr>
      </w:pPr>
      <w:r>
        <w:rPr>
          <w:rFonts w:ascii="Times New Roman" w:hAnsi="Times New Roman"/>
          <w:sz w:val="20"/>
        </w:rPr>
        <w:t xml:space="preserve">We expect our research and development expenses to increase substantially for the foreseeable future as we advance our product candidates into and through clinical trials, pursue regulatory approval of our product candidates, build our operational and commercial capabilities for supplying and marketing our products, if approved, and expand our pipeline of product candidates. We expect to incur significant manufacturing costs as our CMOs develop scaled commercial manufacturing processes.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clinical data, investment in our clinical programs, competition, manufacturing capability and commercial viability. We may never succeed in achieving regulatory approval for any of our product candidates. As a result of the uncertainties discussed above, we are unable to determine the duration and completion of costs of our research and development projects or if, when and to what extent we will generate revenue from the commercialization and sale of our product candidates, if approved by the FDA and other applicable regulatory authorities. </w:t>
      </w:r>
    </w:p>
    <w:p>
      <w:pPr>
        <w:pStyle w:val="TextBody"/>
        <w:bidi w:val="0"/>
        <w:spacing w:before="240" w:after="0"/>
        <w:jc w:val="both"/>
        <w:rPr>
          <w:rFonts w:ascii="Times New Roman" w:hAnsi="Times New Roman"/>
          <w:sz w:val="20"/>
        </w:rPr>
      </w:pPr>
      <w:r>
        <w:rPr>
          <w:rFonts w:ascii="Times New Roman" w:hAnsi="Times New Roman"/>
          <w:sz w:val="20"/>
        </w:rPr>
        <w:t xml:space="preserve">Our future research and development costs may vary significantly based on factors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progress, timing and results of our preclinical studies and clinical development activities for ATTO-1310, ATTO-2306, ATTO-1091 or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number and scope of preclinical and clinical programs we decide to pursue;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amount and timing of any milestone payment due under an existing, or any future, license or collaboration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and fees associated with discovery, acquisition or in-license of our products or technologies, including to maintain and expand our ATTOBODY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number of patients that participate in our clinical trials, and per participant clinical trial costs;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number and duration of clinical trials required for approval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number of sites included in our clinical trials, and the locations of those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delays or difficulties in adding trial sites, and enrolling participants in our clinical trials, or higher than expected patient drop-out or discontinuation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potential additional safety monitoring requested by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phase of development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efficacy and safety profile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timing, receipt, and terms of any approvals from applicable regulatory authorities including the FDA and foreign regulators;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maintaining a continued acceptable safety profile of our product candidates following approval, if any,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changes in the competitive outlook;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extent we pursue strategic collaborations, including collaborations to commercialize ATTO-1310, ATTO-2306, ATTO-1091 or any of our future product candidates, our ability to establish and maintain collaborations on favorable terms, if at all, as well as the timing and amount of any milestone or royalty payments we are required to make or are eligible to receive under such collaborations or our current licenses to which we establish additional strategic collaborations or other arrangements. </w:t>
            </w:r>
          </w:p>
        </w:tc>
      </w:tr>
    </w:tbl>
    <w:p>
      <w:pPr>
        <w:pStyle w:val="TextBody"/>
        <w:bidi w:val="0"/>
        <w:spacing w:before="240" w:after="0"/>
        <w:jc w:val="both"/>
        <w:rPr>
          <w:rFonts w:ascii="Times New Roman" w:hAnsi="Times New Roman"/>
          <w:sz w:val="20"/>
        </w:rPr>
      </w:pPr>
      <w:r>
        <w:rPr>
          <w:rFonts w:ascii="Times New Roman" w:hAnsi="Times New Roman"/>
          <w:sz w:val="20"/>
        </w:rPr>
        <w:t xml:space="preserve">A change in the outcome of any of these variables with respect to the development of any of our product candidates could significantly change the costs and timing associated with the development of that product candidate.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w:t>
      </w:r>
    </w:p>
    <w:p>
      <w:pPr>
        <w:pStyle w:val="TextBody"/>
        <w:bidi w:val="0"/>
        <w:spacing w:before="120" w:after="0"/>
        <w:jc w:val="both"/>
        <w:rPr>
          <w:rFonts w:ascii="Times New Roman" w:hAnsi="Times New Roman"/>
          <w:sz w:val="20"/>
        </w:rPr>
      </w:pPr>
      <w:r>
        <w:rPr>
          <w:rFonts w:ascii="Times New Roman" w:hAnsi="Times New Roman"/>
          <w:sz w:val="20"/>
        </w:rPr>
        <w:t xml:space="preserve">Our general and administrative expenses consist primarily of personnel-related costs, legal and consulting services, including those relating to intellectual property and corporate matters, and allocated overhead, including software, computer supplies and accessories, insurance and other miscellaneous expenses. Personnel-related costs include salaries, annual bonuses, benefits, recruiting fees, travel and meal expenses and stock-based compensation for our general and administrative personnel. </w:t>
      </w:r>
    </w:p>
    <w:p>
      <w:pPr>
        <w:pStyle w:val="TextBody"/>
        <w:bidi w:val="0"/>
        <w:spacing w:before="240" w:after="0"/>
        <w:jc w:val="both"/>
        <w:rPr>
          <w:rFonts w:ascii="Times New Roman" w:hAnsi="Times New Roman"/>
          <w:sz w:val="20"/>
        </w:rPr>
      </w:pPr>
      <w:r>
        <w:rPr>
          <w:rFonts w:ascii="Times New Roman" w:hAnsi="Times New Roman"/>
          <w:sz w:val="20"/>
        </w:rPr>
        <w:t xml:space="preserve">We expect that our general and administrative expenses will increase substantially in the future as a result of expanding our operations, including hiring personnel, preparing for potential commercialization of our product candidates, and facility occupancy costs, as well as various incremental costs associated with operating as a public company. We expect that our costs will increase related to legal, audit, accounting fees, regulatory and tax-related services associated with maintaining compliance with exchange listing and SEC requirements, director and officer insurance costs, investor and public relations costs, and other expenses that we did not incur as a private company. We also expect to increase the size of our administrative function to support the growth of our business.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both"/>
        <w:rPr>
          <w:rFonts w:ascii="Times New Roman" w:hAnsi="Times New Roman"/>
          <w:sz w:val="20"/>
        </w:rPr>
      </w:pPr>
      <w:r>
        <w:rPr>
          <w:rFonts w:ascii="Times New Roman" w:hAnsi="Times New Roman"/>
          <w:sz w:val="20"/>
        </w:rPr>
        <w:t xml:space="preserve">Interest income primarily consists of interest income earned on our invested cash, cash equivalents and marketable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Change in Fair Value of Preferred Stock Tranche Liability </w:t>
      </w:r>
    </w:p>
    <w:p>
      <w:pPr>
        <w:pStyle w:val="TextBody"/>
        <w:bidi w:val="0"/>
        <w:spacing w:before="120" w:after="0"/>
        <w:jc w:val="both"/>
        <w:rPr>
          <w:rFonts w:ascii="Times New Roman" w:hAnsi="Times New Roman"/>
          <w:sz w:val="20"/>
        </w:rPr>
      </w:pPr>
      <w:r>
        <w:rPr>
          <w:rFonts w:ascii="Times New Roman" w:hAnsi="Times New Roman"/>
          <w:sz w:val="20"/>
        </w:rPr>
        <w:t xml:space="preserve">The Series A Purchase Agreement and Series B Purchase Agreement include contingent obligations for us to issue shares of Series A-2 redeemable convertible preferred stock and Series B redeemable convertible preferred stock, respectively, at future dates (the preferred stock tranche liabilities). The preferred stock tranche liabilities were determined to be freestanding instruments within the scope of ASC 480, </w:t>
      </w:r>
      <w:r>
        <w:rPr>
          <w:rFonts w:ascii="Times New Roman" w:hAnsi="Times New Roman"/>
          <w:i/>
          <w:sz w:val="20"/>
        </w:rPr>
        <w:t>Distinguishing Liabilities from Equity</w:t>
      </w:r>
      <w:r>
        <w:rPr>
          <w:rFonts w:ascii="Times New Roman" w:hAnsi="Times New Roman"/>
          <w:sz w:val="20"/>
        </w:rPr>
        <w:t xml:space="preserve"> that should be accounted for at fair value and remeasured at fair value each reporting period with changes recognized in the consolidated statement of operations and comprehensive loss.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both"/>
        <w:rPr>
          <w:rFonts w:ascii="Times New Roman" w:hAnsi="Times New Roman"/>
          <w:b/>
          <w:i/>
          <w:sz w:val="20"/>
        </w:rPr>
      </w:pPr>
      <w:r>
        <w:rPr>
          <w:rFonts w:ascii="Times New Roman" w:hAnsi="Times New Roman"/>
          <w:b/>
          <w:i/>
          <w:sz w:val="20"/>
        </w:rPr>
        <w:t xml:space="preserve">Comparison of the Years Ended December 31, 2024 and 2025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summarizes our results of operations for the years ended December 31, 2024 and 2025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48"/>
        <w:gridCol w:w="195"/>
        <w:gridCol w:w="185"/>
        <w:gridCol w:w="1054"/>
        <w:gridCol w:w="224"/>
        <w:gridCol w:w="205"/>
        <w:gridCol w:w="185"/>
        <w:gridCol w:w="1058"/>
        <w:gridCol w:w="155"/>
        <w:gridCol w:w="188"/>
        <w:gridCol w:w="140"/>
        <w:gridCol w:w="794"/>
        <w:gridCol w:w="155"/>
        <w:gridCol w:w="188"/>
        <w:gridCol w:w="152"/>
        <w:gridCol w:w="1021"/>
        <w:gridCol w:w="358"/>
      </w:tblGrid>
      <w:tr>
        <w:trPr/>
        <w:tc>
          <w:tcPr>
            <w:tcW w:w="3948"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394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91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34"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73" w:type="dxa"/>
            <w:gridSpan w:val="2"/>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r>
      <w:tr>
        <w:trPr/>
        <w:tc>
          <w:tcPr>
            <w:tcW w:w="394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22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24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358" w:type="dxa"/>
            <w:tcBorders/>
            <w:vAlign w:val="bottom"/>
          </w:tcPr>
          <w:p>
            <w:pPr>
              <w:pStyle w:val="TableContents"/>
              <w:bidi w:val="0"/>
              <w:spacing w:before="0" w:after="283"/>
              <w:jc w:val="left"/>
              <w:rPr/>
            </w:pPr>
            <w:r>
              <w:rPr/>
              <w:t> </w:t>
            </w:r>
          </w:p>
        </w:tc>
      </w:tr>
      <w:tr>
        <w:trPr/>
        <w:tc>
          <w:tcPr>
            <w:tcW w:w="39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9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054" w:type="dxa"/>
            <w:tcBorders/>
            <w:shd w:fill="CCEEFF" w:val="clear"/>
            <w:vAlign w:val="bottom"/>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0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021"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sz w:val="4"/>
                <w:szCs w:val="4"/>
              </w:rPr>
            </w:pPr>
            <w:r>
              <w:rPr>
                <w:sz w:val="4"/>
                <w:szCs w:val="4"/>
              </w:rPr>
            </w:r>
          </w:p>
        </w:tc>
      </w:tr>
      <w:tr>
        <w:trPr/>
        <w:tc>
          <w:tcPr>
            <w:tcW w:w="3948" w:type="dxa"/>
            <w:tcBorders/>
          </w:tcPr>
          <w:p>
            <w:pPr>
              <w:pStyle w:val="TableContents"/>
              <w:bidi w:val="0"/>
              <w:spacing w:before="0" w:after="0"/>
              <w:jc w:val="left"/>
              <w:rPr>
                <w:rFonts w:ascii="Times New Roman" w:hAnsi="Times New Roman"/>
                <w:sz w:val="20"/>
              </w:rPr>
            </w:pPr>
            <w:r>
              <w:rPr>
                <w:rFonts w:ascii="Times New Roman" w:hAnsi="Times New Roman"/>
                <w:sz w:val="20"/>
              </w:rPr>
              <w:t>Collaboration revenue</w:t>
            </w:r>
          </w:p>
        </w:tc>
        <w:tc>
          <w:tcPr>
            <w:tcW w:w="19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054" w:type="dxa"/>
            <w:tcBorders/>
            <w:vAlign w:val="bottom"/>
          </w:tcPr>
          <w:p>
            <w:pPr>
              <w:pStyle w:val="TableContents"/>
              <w:bidi w:val="0"/>
              <w:spacing w:before="0" w:after="283"/>
              <w:jc w:val="right"/>
              <w:rPr/>
            </w:pPr>
            <w:r>
              <w:rPr/>
              <w:t>— </w:t>
            </w:r>
          </w:p>
        </w:tc>
        <w:tc>
          <w:tcPr>
            <w:tcW w:w="22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058" w:type="dxa"/>
            <w:tcBorders/>
            <w:vAlign w:val="bottom"/>
          </w:tcPr>
          <w:p>
            <w:pPr>
              <w:pStyle w:val="TableContents"/>
              <w:bidi w:val="0"/>
              <w:spacing w:before="0" w:after="283"/>
              <w:jc w:val="right"/>
              <w:rPr/>
            </w:pPr>
            <w:r>
              <w:rPr/>
              <w:t>1,350</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94" w:type="dxa"/>
            <w:tcBorders/>
            <w:vAlign w:val="bottom"/>
          </w:tcPr>
          <w:p>
            <w:pPr>
              <w:pStyle w:val="TableContents"/>
              <w:bidi w:val="0"/>
              <w:spacing w:before="0" w:after="283"/>
              <w:jc w:val="right"/>
              <w:rPr/>
            </w:pPr>
            <w:r>
              <w:rPr/>
              <w:t>1,350</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100</w:t>
            </w:r>
          </w:p>
        </w:tc>
        <w:tc>
          <w:tcPr>
            <w:tcW w:w="358" w:type="dxa"/>
            <w:tcBorders/>
            <w:vAlign w:val="bottom"/>
          </w:tcPr>
          <w:p>
            <w:pPr>
              <w:pStyle w:val="TableContents"/>
              <w:bidi w:val="0"/>
              <w:spacing w:before="0" w:after="283"/>
              <w:jc w:val="left"/>
              <w:rPr/>
            </w:pPr>
            <w:r>
              <w:rPr/>
              <w:t>% </w:t>
            </w:r>
          </w:p>
        </w:tc>
      </w:tr>
      <w:tr>
        <w:trPr/>
        <w:tc>
          <w:tcPr>
            <w:tcW w:w="3948"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021"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9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9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— </w:t>
            </w:r>
          </w:p>
        </w:tc>
        <w:tc>
          <w:tcPr>
            <w:tcW w:w="22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1,350</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1,350</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021"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sz w:val="4"/>
                <w:szCs w:val="4"/>
              </w:rPr>
            </w:pPr>
            <w:r>
              <w:rPr>
                <w:sz w:val="4"/>
                <w:szCs w:val="4"/>
              </w:rPr>
            </w:r>
          </w:p>
        </w:tc>
      </w:tr>
      <w:tr>
        <w:trPr/>
        <w:tc>
          <w:tcPr>
            <w:tcW w:w="3948"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9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105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10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021"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9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9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33,864</w:t>
            </w:r>
          </w:p>
        </w:tc>
        <w:tc>
          <w:tcPr>
            <w:tcW w:w="22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54,153</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20,289</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60</w:t>
            </w:r>
          </w:p>
        </w:tc>
        <w:tc>
          <w:tcPr>
            <w:tcW w:w="358" w:type="dxa"/>
            <w:tcBorders/>
            <w:shd w:fill="CCEEFF" w:val="clear"/>
            <w:vAlign w:val="bottom"/>
          </w:tcPr>
          <w:p>
            <w:pPr>
              <w:pStyle w:val="TableContents"/>
              <w:bidi w:val="0"/>
              <w:spacing w:before="0" w:after="283"/>
              <w:jc w:val="left"/>
              <w:rPr/>
            </w:pPr>
            <w:r>
              <w:rPr/>
              <w:t>% </w:t>
            </w:r>
          </w:p>
        </w:tc>
      </w:tr>
      <w:tr>
        <w:trPr/>
        <w:tc>
          <w:tcPr>
            <w:tcW w:w="3948"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9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7,689</w:t>
            </w:r>
          </w:p>
        </w:tc>
        <w:tc>
          <w:tcPr>
            <w:tcW w:w="22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14,356</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6,667</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87</w:t>
            </w:r>
          </w:p>
        </w:tc>
        <w:tc>
          <w:tcPr>
            <w:tcW w:w="358" w:type="dxa"/>
            <w:tcBorders/>
            <w:vAlign w:val="bottom"/>
          </w:tcPr>
          <w:p>
            <w:pPr>
              <w:pStyle w:val="TableContents"/>
              <w:bidi w:val="0"/>
              <w:spacing w:before="0" w:after="283"/>
              <w:jc w:val="left"/>
              <w:rPr/>
            </w:pPr>
            <w:r>
              <w:rPr/>
              <w:t>% </w:t>
            </w:r>
          </w:p>
        </w:tc>
      </w:tr>
      <w:tr>
        <w:trPr/>
        <w:tc>
          <w:tcPr>
            <w:tcW w:w="3948"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021"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9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9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41,553</w:t>
            </w:r>
          </w:p>
        </w:tc>
        <w:tc>
          <w:tcPr>
            <w:tcW w:w="22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68,509</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26,956</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65</w:t>
            </w:r>
          </w:p>
        </w:tc>
        <w:tc>
          <w:tcPr>
            <w:tcW w:w="358" w:type="dxa"/>
            <w:tcBorders/>
            <w:shd w:fill="CCEEFF" w:val="clear"/>
            <w:vAlign w:val="bottom"/>
          </w:tcPr>
          <w:p>
            <w:pPr>
              <w:pStyle w:val="TableContents"/>
              <w:bidi w:val="0"/>
              <w:spacing w:before="0" w:after="283"/>
              <w:jc w:val="left"/>
              <w:rPr/>
            </w:pPr>
            <w:r>
              <w:rPr/>
              <w:t>% </w:t>
            </w:r>
          </w:p>
        </w:tc>
      </w:tr>
      <w:tr>
        <w:trPr/>
        <w:tc>
          <w:tcPr>
            <w:tcW w:w="3948"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021"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948"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9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(41,553</w:t>
            </w:r>
          </w:p>
        </w:tc>
        <w:tc>
          <w:tcPr>
            <w:tcW w:w="22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(67,159</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(25,606</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62</w:t>
            </w:r>
          </w:p>
        </w:tc>
        <w:tc>
          <w:tcPr>
            <w:tcW w:w="358" w:type="dxa"/>
            <w:tcBorders/>
            <w:vAlign w:val="bottom"/>
          </w:tcPr>
          <w:p>
            <w:pPr>
              <w:pStyle w:val="TableContents"/>
              <w:bidi w:val="0"/>
              <w:spacing w:before="0" w:after="283"/>
              <w:jc w:val="left"/>
              <w:rPr/>
            </w:pPr>
            <w:r>
              <w:rPr/>
              <w:t>% </w:t>
            </w:r>
          </w:p>
        </w:tc>
      </w:tr>
      <w:tr>
        <w:trPr/>
        <w:tc>
          <w:tcPr>
            <w:tcW w:w="39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9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054" w:type="dxa"/>
            <w:tcBorders/>
            <w:shd w:fill="CCEEFF" w:val="clear"/>
            <w:vAlign w:val="bottom"/>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0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021"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sz w:val="4"/>
                <w:szCs w:val="4"/>
              </w:rPr>
            </w:pPr>
            <w:r>
              <w:rPr>
                <w:sz w:val="4"/>
                <w:szCs w:val="4"/>
              </w:rPr>
            </w:r>
          </w:p>
        </w:tc>
      </w:tr>
      <w:tr>
        <w:trPr/>
        <w:tc>
          <w:tcPr>
            <w:tcW w:w="3948"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9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3,437</w:t>
            </w:r>
          </w:p>
        </w:tc>
        <w:tc>
          <w:tcPr>
            <w:tcW w:w="22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6,627</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3,190</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93</w:t>
            </w:r>
          </w:p>
        </w:tc>
        <w:tc>
          <w:tcPr>
            <w:tcW w:w="358" w:type="dxa"/>
            <w:tcBorders/>
            <w:vAlign w:val="bottom"/>
          </w:tcPr>
          <w:p>
            <w:pPr>
              <w:pStyle w:val="TableContents"/>
              <w:bidi w:val="0"/>
              <w:spacing w:before="0" w:after="283"/>
              <w:jc w:val="left"/>
              <w:rPr/>
            </w:pPr>
            <w:r>
              <w:rPr/>
              <w:t>% </w:t>
            </w:r>
          </w:p>
        </w:tc>
      </w:tr>
      <w:tr>
        <w:trPr/>
        <w:tc>
          <w:tcPr>
            <w:tcW w:w="39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preferred stock tranche liability</w:t>
            </w:r>
          </w:p>
        </w:tc>
        <w:tc>
          <w:tcPr>
            <w:tcW w:w="19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(1,674</w:t>
            </w:r>
          </w:p>
        </w:tc>
        <w:tc>
          <w:tcPr>
            <w:tcW w:w="22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(170</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1,504</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(90</w:t>
            </w:r>
          </w:p>
        </w:tc>
        <w:tc>
          <w:tcPr>
            <w:tcW w:w="358" w:type="dxa"/>
            <w:tcBorders/>
            <w:shd w:fill="CCEEFF" w:val="clear"/>
            <w:vAlign w:val="bottom"/>
          </w:tcPr>
          <w:p>
            <w:pPr>
              <w:pStyle w:val="TableContents"/>
              <w:bidi w:val="0"/>
              <w:spacing w:before="0" w:after="283"/>
              <w:jc w:val="left"/>
              <w:rPr/>
            </w:pPr>
            <w:r>
              <w:rPr/>
              <w:t>)% </w:t>
            </w:r>
          </w:p>
        </w:tc>
      </w:tr>
      <w:tr>
        <w:trPr/>
        <w:tc>
          <w:tcPr>
            <w:tcW w:w="3948"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9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(11</w:t>
            </w:r>
          </w:p>
        </w:tc>
        <w:tc>
          <w:tcPr>
            <w:tcW w:w="22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75</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86</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w:t>
            </w:r>
          </w:p>
        </w:tc>
        <w:tc>
          <w:tcPr>
            <w:tcW w:w="358" w:type="dxa"/>
            <w:tcBorders/>
            <w:vAlign w:val="bottom"/>
          </w:tcPr>
          <w:p>
            <w:pPr>
              <w:pStyle w:val="TableContents"/>
              <w:bidi w:val="0"/>
              <w:spacing w:before="0" w:after="283"/>
              <w:jc w:val="left"/>
              <w:rPr/>
            </w:pPr>
            <w:r>
              <w:rPr/>
              <w:t> </w:t>
            </w:r>
          </w:p>
        </w:tc>
      </w:tr>
      <w:tr>
        <w:trPr/>
        <w:tc>
          <w:tcPr>
            <w:tcW w:w="3948"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021"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9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19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1,752</w:t>
            </w:r>
          </w:p>
        </w:tc>
        <w:tc>
          <w:tcPr>
            <w:tcW w:w="22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6,532</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4,780</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w:t>
            </w:r>
          </w:p>
        </w:tc>
        <w:tc>
          <w:tcPr>
            <w:tcW w:w="358" w:type="dxa"/>
            <w:tcBorders/>
            <w:shd w:fill="CCEEFF" w:val="clear"/>
            <w:vAlign w:val="bottom"/>
          </w:tcPr>
          <w:p>
            <w:pPr>
              <w:pStyle w:val="TableContents"/>
              <w:bidi w:val="0"/>
              <w:spacing w:before="0" w:after="283"/>
              <w:jc w:val="left"/>
              <w:rPr/>
            </w:pPr>
            <w:r>
              <w:rPr/>
              <w:t> </w:t>
            </w:r>
          </w:p>
        </w:tc>
      </w:tr>
      <w:tr>
        <w:trPr/>
        <w:tc>
          <w:tcPr>
            <w:tcW w:w="3948"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021"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948"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9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054" w:type="dxa"/>
            <w:tcBorders/>
            <w:vAlign w:val="bottom"/>
          </w:tcPr>
          <w:p>
            <w:pPr>
              <w:pStyle w:val="TableContents"/>
              <w:bidi w:val="0"/>
              <w:spacing w:before="0" w:after="283"/>
              <w:jc w:val="right"/>
              <w:rPr/>
            </w:pPr>
            <w:r>
              <w:rPr/>
              <w:t>(39,801)</w:t>
            </w:r>
          </w:p>
        </w:tc>
        <w:tc>
          <w:tcPr>
            <w:tcW w:w="22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058" w:type="dxa"/>
            <w:tcBorders/>
            <w:vAlign w:val="bottom"/>
          </w:tcPr>
          <w:p>
            <w:pPr>
              <w:pStyle w:val="TableContents"/>
              <w:bidi w:val="0"/>
              <w:spacing w:before="0" w:after="283"/>
              <w:jc w:val="right"/>
              <w:rPr/>
            </w:pPr>
            <w:r>
              <w:rPr/>
              <w:t>(60,627</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94" w:type="dxa"/>
            <w:tcBorders/>
            <w:vAlign w:val="bottom"/>
          </w:tcPr>
          <w:p>
            <w:pPr>
              <w:pStyle w:val="TableContents"/>
              <w:bidi w:val="0"/>
              <w:spacing w:before="0" w:after="283"/>
              <w:jc w:val="right"/>
              <w:rPr/>
            </w:pPr>
            <w:r>
              <w:rPr/>
              <w:t>(20,826</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52</w:t>
            </w:r>
          </w:p>
        </w:tc>
        <w:tc>
          <w:tcPr>
            <w:tcW w:w="358" w:type="dxa"/>
            <w:tcBorders/>
            <w:vAlign w:val="bottom"/>
          </w:tcPr>
          <w:p>
            <w:pPr>
              <w:pStyle w:val="TableContents"/>
              <w:bidi w:val="0"/>
              <w:spacing w:before="0" w:after="283"/>
              <w:jc w:val="left"/>
              <w:rPr/>
            </w:pPr>
            <w:r>
              <w:rPr/>
              <w:t>% </w:t>
            </w:r>
          </w:p>
        </w:tc>
      </w:tr>
      <w:tr>
        <w:trPr/>
        <w:tc>
          <w:tcPr>
            <w:tcW w:w="3948"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054" w:type="dxa"/>
            <w:tcBorders/>
            <w:vAlign w:val="bottom"/>
          </w:tcPr>
          <w:p>
            <w:pPr>
              <w:pStyle w:val="TableContents"/>
              <w:pBdr>
                <w:top w:val="double" w:sz="6"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0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021"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i/>
                <w:sz w:val="16"/>
              </w:rPr>
              <w:t>Not meaningful</w:t>
            </w:r>
            <w:r>
              <w:rPr>
                <w:rFonts w:ascii="Times New Roman" w:hAnsi="Times New Roman"/>
                <w:sz w:val="16"/>
              </w:rPr>
              <w:t xml:space="preserve">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Collaboration Revenue </w:t>
      </w:r>
    </w:p>
    <w:p>
      <w:pPr>
        <w:pStyle w:val="TextBody"/>
        <w:bidi w:val="0"/>
        <w:spacing w:before="120" w:after="0"/>
        <w:jc w:val="both"/>
        <w:rPr>
          <w:rFonts w:ascii="Times New Roman" w:hAnsi="Times New Roman"/>
          <w:sz w:val="20"/>
        </w:rPr>
      </w:pPr>
      <w:r>
        <w:rPr>
          <w:rFonts w:ascii="Times New Roman" w:hAnsi="Times New Roman"/>
          <w:sz w:val="20"/>
        </w:rPr>
        <w:t xml:space="preserve">For the year ended December 31, 2025, we recognized collaboration revenue of $1.4 million, related to the EndPath Agreement. See Note 5 to our audited consolidated financial statements and Note 5 to our unaudited interim condensed consolidated financial statements included elsewhere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summarizes our research and development expenses for the years ended December 31, 2024 and 2025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37"/>
        <w:gridCol w:w="282"/>
        <w:gridCol w:w="204"/>
        <w:gridCol w:w="996"/>
        <w:gridCol w:w="87"/>
        <w:gridCol w:w="330"/>
        <w:gridCol w:w="204"/>
        <w:gridCol w:w="1000"/>
        <w:gridCol w:w="60"/>
        <w:gridCol w:w="282"/>
        <w:gridCol w:w="140"/>
        <w:gridCol w:w="680"/>
        <w:gridCol w:w="155"/>
        <w:gridCol w:w="230"/>
        <w:gridCol w:w="209"/>
        <w:gridCol w:w="920"/>
        <w:gridCol w:w="289"/>
      </w:tblGrid>
      <w:tr>
        <w:trPr/>
        <w:tc>
          <w:tcPr>
            <w:tcW w:w="4137"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4137"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82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r>
      <w:tr>
        <w:trPr/>
        <w:tc>
          <w:tcPr>
            <w:tcW w:w="4137"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20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87"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289" w:type="dxa"/>
            <w:tcBorders/>
            <w:vAlign w:val="bottom"/>
          </w:tcPr>
          <w:p>
            <w:pPr>
              <w:pStyle w:val="TableContents"/>
              <w:bidi w:val="0"/>
              <w:spacing w:before="0" w:after="283"/>
              <w:jc w:val="left"/>
              <w:rPr/>
            </w:pPr>
            <w:r>
              <w:rPr/>
              <w:t> </w:t>
            </w:r>
          </w:p>
        </w:tc>
      </w:tr>
      <w:tr>
        <w:trPr/>
        <w:tc>
          <w:tcPr>
            <w:tcW w:w="41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costs:</w:t>
            </w:r>
          </w:p>
        </w:tc>
        <w:tc>
          <w:tcPr>
            <w:tcW w:w="28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33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920" w:type="dxa"/>
            <w:tcBorders/>
            <w:shd w:fill="CCEEFF" w:val="clear"/>
            <w:vAlign w:val="bottom"/>
          </w:tcPr>
          <w:p>
            <w:pPr>
              <w:pStyle w:val="TableContents"/>
              <w:bidi w:val="0"/>
              <w:spacing w:before="0" w:after="283"/>
              <w:jc w:val="left"/>
              <w:rPr>
                <w:sz w:val="4"/>
                <w:szCs w:val="4"/>
              </w:rPr>
            </w:pPr>
            <w:r>
              <w:rPr>
                <w:sz w:val="4"/>
                <w:szCs w:val="4"/>
              </w:rPr>
            </w:r>
          </w:p>
        </w:tc>
        <w:tc>
          <w:tcPr>
            <w:tcW w:w="289" w:type="dxa"/>
            <w:tcBorders/>
            <w:shd w:fill="CCEEFF" w:val="clear"/>
            <w:vAlign w:val="bottom"/>
          </w:tcPr>
          <w:p>
            <w:pPr>
              <w:pStyle w:val="TableContents"/>
              <w:bidi w:val="0"/>
              <w:spacing w:before="0" w:after="283"/>
              <w:jc w:val="left"/>
              <w:rPr>
                <w:sz w:val="4"/>
                <w:szCs w:val="4"/>
              </w:rPr>
            </w:pPr>
            <w:r>
              <w:rPr>
                <w:sz w:val="4"/>
                <w:szCs w:val="4"/>
              </w:rPr>
            </w:r>
          </w:p>
        </w:tc>
      </w:tr>
      <w:tr>
        <w:trPr/>
        <w:tc>
          <w:tcPr>
            <w:tcW w:w="4137" w:type="dxa"/>
            <w:tcBorders/>
          </w:tcPr>
          <w:p>
            <w:pPr>
              <w:pStyle w:val="TableContents"/>
              <w:bidi w:val="0"/>
              <w:spacing w:before="0" w:after="0"/>
              <w:jc w:val="left"/>
              <w:rPr>
                <w:rFonts w:ascii="Times New Roman" w:hAnsi="Times New Roman"/>
                <w:sz w:val="20"/>
              </w:rPr>
            </w:pPr>
            <w:r>
              <w:rPr>
                <w:rFonts w:ascii="Times New Roman" w:hAnsi="Times New Roman"/>
                <w:sz w:val="20"/>
              </w:rPr>
              <w:t>Clinical, manufacturing, and preclinical services</w:t>
            </w:r>
          </w:p>
        </w:tc>
        <w:tc>
          <w:tcPr>
            <w:tcW w:w="28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996" w:type="dxa"/>
            <w:tcBorders/>
            <w:vAlign w:val="bottom"/>
          </w:tcPr>
          <w:p>
            <w:pPr>
              <w:pStyle w:val="TableContents"/>
              <w:bidi w:val="0"/>
              <w:spacing w:before="0" w:after="283"/>
              <w:jc w:val="right"/>
              <w:rPr/>
            </w:pPr>
            <w:r>
              <w:rPr/>
              <w:t>21,375</w:t>
            </w:r>
          </w:p>
        </w:tc>
        <w:tc>
          <w:tcPr>
            <w:tcW w:w="87"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000" w:type="dxa"/>
            <w:tcBorders/>
            <w:vAlign w:val="bottom"/>
          </w:tcPr>
          <w:p>
            <w:pPr>
              <w:pStyle w:val="TableContents"/>
              <w:bidi w:val="0"/>
              <w:spacing w:before="0" w:after="283"/>
              <w:jc w:val="right"/>
              <w:rPr/>
            </w:pPr>
            <w:r>
              <w:rPr/>
              <w:t>37,106</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15,731</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74</w:t>
            </w:r>
          </w:p>
        </w:tc>
        <w:tc>
          <w:tcPr>
            <w:tcW w:w="289" w:type="dxa"/>
            <w:tcBorders/>
            <w:vAlign w:val="bottom"/>
          </w:tcPr>
          <w:p>
            <w:pPr>
              <w:pStyle w:val="TableContents"/>
              <w:bidi w:val="0"/>
              <w:spacing w:before="0" w:after="283"/>
              <w:jc w:val="left"/>
              <w:rPr/>
            </w:pPr>
            <w:r>
              <w:rPr/>
              <w:t>% </w:t>
            </w:r>
          </w:p>
        </w:tc>
      </w:tr>
      <w:tr>
        <w:trPr/>
        <w:tc>
          <w:tcPr>
            <w:tcW w:w="41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Professional consulting services</w:t>
            </w:r>
          </w:p>
        </w:tc>
        <w:tc>
          <w:tcPr>
            <w:tcW w:w="28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1,834</w:t>
            </w:r>
          </w:p>
        </w:tc>
        <w:tc>
          <w:tcPr>
            <w:tcW w:w="87"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2,417</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583</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32</w:t>
            </w:r>
          </w:p>
        </w:tc>
        <w:tc>
          <w:tcPr>
            <w:tcW w:w="289" w:type="dxa"/>
            <w:tcBorders/>
            <w:shd w:fill="CCEEFF" w:val="clear"/>
            <w:vAlign w:val="bottom"/>
          </w:tcPr>
          <w:p>
            <w:pPr>
              <w:pStyle w:val="TableContents"/>
              <w:bidi w:val="0"/>
              <w:spacing w:before="0" w:after="283"/>
              <w:jc w:val="left"/>
              <w:rPr/>
            </w:pPr>
            <w:r>
              <w:rPr/>
              <w:t>% </w:t>
            </w:r>
          </w:p>
        </w:tc>
      </w:tr>
      <w:tr>
        <w:trPr/>
        <w:tc>
          <w:tcPr>
            <w:tcW w:w="4137" w:type="dxa"/>
            <w:tcBorders/>
          </w:tcPr>
          <w:p>
            <w:pPr>
              <w:pStyle w:val="TableContents"/>
              <w:bidi w:val="0"/>
              <w:spacing w:before="0" w:after="0"/>
              <w:jc w:val="left"/>
              <w:rPr>
                <w:rFonts w:ascii="Times New Roman" w:hAnsi="Times New Roman"/>
                <w:sz w:val="20"/>
              </w:rPr>
            </w:pPr>
            <w:r>
              <w:rPr>
                <w:rFonts w:ascii="Times New Roman" w:hAnsi="Times New Roman"/>
                <w:sz w:val="20"/>
              </w:rPr>
              <w:t>Consumables and other research and development costs</w:t>
            </w:r>
          </w:p>
        </w:tc>
        <w:tc>
          <w:tcPr>
            <w:tcW w:w="28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3,132</w:t>
            </w:r>
          </w:p>
        </w:tc>
        <w:tc>
          <w:tcPr>
            <w:tcW w:w="87"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3,122</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w:t>
            </w:r>
          </w:p>
        </w:tc>
        <w:tc>
          <w:tcPr>
            <w:tcW w:w="289" w:type="dxa"/>
            <w:tcBorders/>
            <w:vAlign w:val="bottom"/>
          </w:tcPr>
          <w:p>
            <w:pPr>
              <w:pStyle w:val="TableContents"/>
              <w:bidi w:val="0"/>
              <w:spacing w:before="0" w:after="283"/>
              <w:jc w:val="left"/>
              <w:rPr/>
            </w:pPr>
            <w:r>
              <w:rPr/>
              <w:t> </w:t>
            </w:r>
          </w:p>
        </w:tc>
      </w:tr>
      <w:tr>
        <w:trPr/>
        <w:tc>
          <w:tcPr>
            <w:tcW w:w="41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Internal costs:</w:t>
            </w:r>
          </w:p>
        </w:tc>
        <w:tc>
          <w:tcPr>
            <w:tcW w:w="28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33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920" w:type="dxa"/>
            <w:tcBorders/>
            <w:shd w:fill="CCEEFF" w:val="clear"/>
            <w:vAlign w:val="bottom"/>
          </w:tcPr>
          <w:p>
            <w:pPr>
              <w:pStyle w:val="TableContents"/>
              <w:bidi w:val="0"/>
              <w:spacing w:before="0" w:after="283"/>
              <w:jc w:val="left"/>
              <w:rPr>
                <w:sz w:val="4"/>
                <w:szCs w:val="4"/>
              </w:rPr>
            </w:pPr>
            <w:r>
              <w:rPr>
                <w:sz w:val="4"/>
                <w:szCs w:val="4"/>
              </w:rPr>
            </w:r>
          </w:p>
        </w:tc>
        <w:tc>
          <w:tcPr>
            <w:tcW w:w="289" w:type="dxa"/>
            <w:tcBorders/>
            <w:shd w:fill="CCEEFF" w:val="clear"/>
            <w:vAlign w:val="bottom"/>
          </w:tcPr>
          <w:p>
            <w:pPr>
              <w:pStyle w:val="TableContents"/>
              <w:bidi w:val="0"/>
              <w:spacing w:before="0" w:after="283"/>
              <w:jc w:val="left"/>
              <w:rPr>
                <w:sz w:val="4"/>
                <w:szCs w:val="4"/>
              </w:rPr>
            </w:pPr>
            <w:r>
              <w:rPr>
                <w:sz w:val="4"/>
                <w:szCs w:val="4"/>
              </w:rPr>
            </w:r>
          </w:p>
        </w:tc>
      </w:tr>
      <w:tr>
        <w:trPr/>
        <w:tc>
          <w:tcPr>
            <w:tcW w:w="4137" w:type="dxa"/>
            <w:tcBorders/>
          </w:tcPr>
          <w:p>
            <w:pPr>
              <w:pStyle w:val="TableContents"/>
              <w:bidi w:val="0"/>
              <w:spacing w:before="0" w:after="0"/>
              <w:jc w:val="left"/>
              <w:rPr>
                <w:rFonts w:ascii="Times New Roman" w:hAnsi="Times New Roman"/>
                <w:sz w:val="20"/>
              </w:rPr>
            </w:pPr>
            <w:r>
              <w:rPr>
                <w:rFonts w:ascii="Times New Roman" w:hAnsi="Times New Roman"/>
                <w:sz w:val="20"/>
              </w:rPr>
              <w:t>Personnel-related costs</w:t>
            </w:r>
          </w:p>
        </w:tc>
        <w:tc>
          <w:tcPr>
            <w:tcW w:w="28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6,993</w:t>
            </w:r>
          </w:p>
        </w:tc>
        <w:tc>
          <w:tcPr>
            <w:tcW w:w="87"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10,686</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3,693</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53</w:t>
            </w:r>
          </w:p>
        </w:tc>
        <w:tc>
          <w:tcPr>
            <w:tcW w:w="289" w:type="dxa"/>
            <w:tcBorders/>
            <w:vAlign w:val="bottom"/>
          </w:tcPr>
          <w:p>
            <w:pPr>
              <w:pStyle w:val="TableContents"/>
              <w:bidi w:val="0"/>
              <w:spacing w:before="0" w:after="283"/>
              <w:jc w:val="left"/>
              <w:rPr/>
            </w:pPr>
            <w:r>
              <w:rPr/>
              <w:t>% </w:t>
            </w:r>
          </w:p>
        </w:tc>
      </w:tr>
      <w:tr>
        <w:trPr/>
        <w:tc>
          <w:tcPr>
            <w:tcW w:w="41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Facilities and overhead costs</w:t>
            </w:r>
          </w:p>
        </w:tc>
        <w:tc>
          <w:tcPr>
            <w:tcW w:w="28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530</w:t>
            </w:r>
          </w:p>
        </w:tc>
        <w:tc>
          <w:tcPr>
            <w:tcW w:w="87"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822</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292</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55</w:t>
            </w:r>
          </w:p>
        </w:tc>
        <w:tc>
          <w:tcPr>
            <w:tcW w:w="289" w:type="dxa"/>
            <w:tcBorders/>
            <w:shd w:fill="CCEEFF" w:val="clear"/>
            <w:vAlign w:val="bottom"/>
          </w:tcPr>
          <w:p>
            <w:pPr>
              <w:pStyle w:val="TableContents"/>
              <w:bidi w:val="0"/>
              <w:spacing w:before="0" w:after="283"/>
              <w:jc w:val="left"/>
              <w:rPr/>
            </w:pPr>
            <w:r>
              <w:rPr/>
              <w:t>% </w:t>
            </w:r>
          </w:p>
        </w:tc>
      </w:tr>
      <w:tr>
        <w:trPr/>
        <w:tc>
          <w:tcPr>
            <w:tcW w:w="4137"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920"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r>
      <w:tr>
        <w:trPr/>
        <w:tc>
          <w:tcPr>
            <w:tcW w:w="4137" w:type="dxa"/>
            <w:tcBorders/>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28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996" w:type="dxa"/>
            <w:tcBorders/>
            <w:vAlign w:val="bottom"/>
          </w:tcPr>
          <w:p>
            <w:pPr>
              <w:pStyle w:val="TableContents"/>
              <w:bidi w:val="0"/>
              <w:spacing w:before="0" w:after="283"/>
              <w:jc w:val="right"/>
              <w:rPr/>
            </w:pPr>
            <w:r>
              <w:rPr/>
              <w:t>33,864</w:t>
            </w:r>
          </w:p>
        </w:tc>
        <w:tc>
          <w:tcPr>
            <w:tcW w:w="87"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000" w:type="dxa"/>
            <w:tcBorders/>
            <w:vAlign w:val="bottom"/>
          </w:tcPr>
          <w:p>
            <w:pPr>
              <w:pStyle w:val="TableContents"/>
              <w:bidi w:val="0"/>
              <w:spacing w:before="0" w:after="283"/>
              <w:jc w:val="right"/>
              <w:rPr/>
            </w:pPr>
            <w:r>
              <w:rPr/>
              <w:t>54,153</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20,289</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60</w:t>
            </w:r>
          </w:p>
        </w:tc>
        <w:tc>
          <w:tcPr>
            <w:tcW w:w="289" w:type="dxa"/>
            <w:tcBorders/>
            <w:vAlign w:val="bottom"/>
          </w:tcPr>
          <w:p>
            <w:pPr>
              <w:pStyle w:val="TableContents"/>
              <w:bidi w:val="0"/>
              <w:spacing w:before="0" w:after="283"/>
              <w:jc w:val="left"/>
              <w:rPr/>
            </w:pPr>
            <w:r>
              <w:rPr/>
              <w:t>% </w:t>
            </w:r>
          </w:p>
        </w:tc>
      </w:tr>
      <w:tr>
        <w:trPr/>
        <w:tc>
          <w:tcPr>
            <w:tcW w:w="4137"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996" w:type="dxa"/>
            <w:tcBorders/>
            <w:vAlign w:val="bottom"/>
          </w:tcPr>
          <w:p>
            <w:pPr>
              <w:pStyle w:val="TableContents"/>
              <w:pBdr>
                <w:top w:val="double" w:sz="6"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920"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Not meaningful </w:t>
            </w:r>
          </w:p>
        </w:tc>
      </w:tr>
    </w:tbl>
    <w:p>
      <w:pPr>
        <w:pStyle w:val="TextBody"/>
        <w:bidi w:val="0"/>
        <w:spacing w:before="240" w:after="0"/>
        <w:jc w:val="both"/>
        <w:rPr>
          <w:rFonts w:ascii="Times New Roman" w:hAnsi="Times New Roman"/>
          <w:sz w:val="20"/>
        </w:rPr>
      </w:pPr>
      <w:r>
        <w:rPr>
          <w:rFonts w:ascii="Times New Roman" w:hAnsi="Times New Roman"/>
          <w:sz w:val="20"/>
        </w:rPr>
        <w:t xml:space="preserve">Research and development expenses increased by $20.3 million, from $33.9 million for the year ended December 31, 2024 to $54.2 million for the year ended December 31, 2025. The increase was primarily attributable to the following: Clinical, manufacturing, and preclinical services increased by $15.7 million from $21.4 million for the year ended December 31, 2024 to $37.1 million for the year ended December 31, 2025, primarily due to increased CRO and CMO activities related to ATTO-1310, ATTO-3712 and ATTO-1091 development. Professional research and development consulting services expense increased by $0.6 million to support advancement and expansion of our pipeline programs. </w:t>
      </w:r>
    </w:p>
    <w:p>
      <w:pPr>
        <w:pStyle w:val="TextBody"/>
        <w:bidi w:val="0"/>
        <w:spacing w:before="240" w:after="0"/>
        <w:jc w:val="both"/>
        <w:rPr>
          <w:rFonts w:ascii="Times New Roman" w:hAnsi="Times New Roman"/>
          <w:sz w:val="20"/>
        </w:rPr>
      </w:pPr>
      <w:r>
        <w:rPr>
          <w:rFonts w:ascii="Times New Roman" w:hAnsi="Times New Roman"/>
          <w:sz w:val="20"/>
        </w:rPr>
        <w:t xml:space="preserve">Personnel-related costs increased by $3.7 million primarily as a result of increased research and development headcount, including the increase in stock-based compensation expense of $0.3 million. Facilities and overhead costs increased as a result of higher laboratory equipment depreciation expense.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both"/>
        <w:rPr>
          <w:rFonts w:ascii="Times New Roman" w:hAnsi="Times New Roman"/>
          <w:sz w:val="20"/>
        </w:rPr>
      </w:pPr>
      <w:r>
        <w:rPr>
          <w:rFonts w:ascii="Times New Roman" w:hAnsi="Times New Roman"/>
          <w:sz w:val="20"/>
        </w:rPr>
        <w:t xml:space="preserve">General and administrative expenses increased by $6.7 million, from $7.7 million for the year ended December 31, 2024 to $14.4 million for the year ended December 31, 2025. The increase was primarily driven by an increase in facilities and overhead costs of $2.5 million due to the lease of a new headquarters facility and other office expenses, an increase in professional services and consulting expenses of $2.4 million due to higher legal, accounting, IT, and business development consulting to support our growth, and the increase in personnel-related costs of $1.8 million as a result of higher headcount, including an increase in stock-based compensation expense of $0.7 million.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both"/>
        <w:rPr>
          <w:rFonts w:ascii="Times New Roman" w:hAnsi="Times New Roman"/>
          <w:sz w:val="20"/>
        </w:rPr>
      </w:pPr>
      <w:r>
        <w:rPr>
          <w:rFonts w:ascii="Times New Roman" w:hAnsi="Times New Roman"/>
          <w:sz w:val="20"/>
        </w:rPr>
        <w:t xml:space="preserve">Interest income increased by $3.2 million, from $3.4 million for the year ended December 31, 2024 to $6.6 million for the year ended December 31, 2025 as a result of higher investment balances during the year ended December 31, 2025 compared to the year ended December 31, 2024. </w:t>
      </w:r>
    </w:p>
    <w:p>
      <w:pPr>
        <w:pStyle w:val="TextBody"/>
        <w:bidi w:val="0"/>
        <w:spacing w:before="360" w:after="0"/>
        <w:jc w:val="left"/>
        <w:rPr>
          <w:rFonts w:ascii="Times New Roman" w:hAnsi="Times New Roman"/>
          <w:i/>
          <w:sz w:val="20"/>
        </w:rPr>
      </w:pPr>
      <w:r>
        <w:rPr>
          <w:rFonts w:ascii="Times New Roman" w:hAnsi="Times New Roman"/>
          <w:i/>
          <w:sz w:val="20"/>
        </w:rPr>
        <w:t xml:space="preserve">Change in Fair Value of Preferred Stock Tranche Liability </w:t>
      </w:r>
    </w:p>
    <w:p>
      <w:pPr>
        <w:pStyle w:val="TextBody"/>
        <w:bidi w:val="0"/>
        <w:spacing w:before="120" w:after="0"/>
        <w:jc w:val="both"/>
        <w:rPr>
          <w:rFonts w:ascii="Times New Roman" w:hAnsi="Times New Roman"/>
          <w:sz w:val="20"/>
        </w:rPr>
      </w:pPr>
      <w:r>
        <w:rPr>
          <w:rFonts w:ascii="Times New Roman" w:hAnsi="Times New Roman"/>
          <w:sz w:val="20"/>
        </w:rPr>
        <w:t xml:space="preserve">The Series B preferred stock tranche liability was initially recorded as a liability at $5.0 million in May 2024. We remeasured the Series B preferred stock tranche liability as of December 31, 2024 and determined that the fair value of the liability was $6.6 million, and therefore recorded an approximately $1.7 million loss in our statement of operations and comprehensive loss during the year ended December 31, 2024. The Series B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tranche was settled in January 2025 when the Series B milestone was achieved. We remeasured the Series B preferred stock tranche liability in January 2025 immediately prior to its settlement and determined that the fair value of the liability was $6.8 million, and therefore recorded an approximately $0.2 million loss in our consolidated statement of operations and comprehensive loss during the year ended December 31, 2025. </w:t>
      </w:r>
    </w:p>
    <w:p>
      <w:pPr>
        <w:pStyle w:val="TextBody"/>
        <w:bidi w:val="0"/>
        <w:spacing w:before="360" w:after="0"/>
        <w:jc w:val="left"/>
        <w:rPr>
          <w:rFonts w:ascii="Times New Roman" w:hAnsi="Times New Roman"/>
          <w:i/>
          <w:sz w:val="20"/>
        </w:rPr>
      </w:pPr>
      <w:r>
        <w:rPr>
          <w:rFonts w:ascii="Times New Roman" w:hAnsi="Times New Roman"/>
          <w:i/>
          <w:sz w:val="20"/>
        </w:rPr>
        <w:t xml:space="preserve">Comparison of the Three Months Ended March 31, 2025 and 2026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summarizes our results of operations for the three months ended March 31, 2025 and 2026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51"/>
        <w:gridCol w:w="262"/>
        <w:gridCol w:w="140"/>
        <w:gridCol w:w="801"/>
        <w:gridCol w:w="155"/>
        <w:gridCol w:w="211"/>
        <w:gridCol w:w="140"/>
        <w:gridCol w:w="801"/>
        <w:gridCol w:w="155"/>
        <w:gridCol w:w="211"/>
        <w:gridCol w:w="147"/>
        <w:gridCol w:w="727"/>
        <w:gridCol w:w="155"/>
        <w:gridCol w:w="211"/>
        <w:gridCol w:w="129"/>
        <w:gridCol w:w="1051"/>
        <w:gridCol w:w="358"/>
      </w:tblGrid>
      <w:tr>
        <w:trPr/>
        <w:tc>
          <w:tcPr>
            <w:tcW w:w="4551"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4551"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224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874"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r>
      <w:tr>
        <w:trPr/>
        <w:tc>
          <w:tcPr>
            <w:tcW w:w="4551"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358" w:type="dxa"/>
            <w:tcBorders/>
            <w:vAlign w:val="bottom"/>
          </w:tcPr>
          <w:p>
            <w:pPr>
              <w:pStyle w:val="TableContents"/>
              <w:bidi w:val="0"/>
              <w:spacing w:before="0" w:after="283"/>
              <w:jc w:val="left"/>
              <w:rPr/>
            </w:pPr>
            <w:r>
              <w:rPr/>
              <w:t> </w:t>
            </w:r>
          </w:p>
        </w:tc>
      </w:tr>
      <w:tr>
        <w:trPr/>
        <w:tc>
          <w:tcPr>
            <w:tcW w:w="4551"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2248" w:type="dxa"/>
            <w:gridSpan w:val="6"/>
            <w:tcBorders/>
            <w:vAlign w:val="bottom"/>
          </w:tcPr>
          <w:p>
            <w:pPr>
              <w:pStyle w:val="TableContents"/>
              <w:bidi w:val="0"/>
              <w:spacing w:before="0" w:after="283"/>
              <w:jc w:val="center"/>
              <w:rPr>
                <w:b/>
              </w:rPr>
            </w:pPr>
            <w:r>
              <w:rPr>
                <w:b/>
              </w:rPr>
              <w:t>(unaudited)</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874"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r>
      <w:tr>
        <w:trPr/>
        <w:tc>
          <w:tcPr>
            <w:tcW w:w="4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72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1"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1051"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sz w:val="4"/>
                <w:szCs w:val="4"/>
              </w:rPr>
            </w:pPr>
            <w:r>
              <w:rPr>
                <w:sz w:val="4"/>
                <w:szCs w:val="4"/>
              </w:rPr>
            </w:r>
          </w:p>
        </w:tc>
      </w:tr>
      <w:tr>
        <w:trPr/>
        <w:tc>
          <w:tcPr>
            <w:tcW w:w="4551"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11,856</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16,746</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727" w:type="dxa"/>
            <w:tcBorders/>
            <w:vAlign w:val="bottom"/>
          </w:tcPr>
          <w:p>
            <w:pPr>
              <w:pStyle w:val="TableContents"/>
              <w:bidi w:val="0"/>
              <w:spacing w:before="0" w:after="283"/>
              <w:jc w:val="right"/>
              <w:rPr/>
            </w:pPr>
            <w:r>
              <w:rPr/>
              <w:t>4,890</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41</w:t>
            </w:r>
          </w:p>
        </w:tc>
        <w:tc>
          <w:tcPr>
            <w:tcW w:w="358" w:type="dxa"/>
            <w:tcBorders/>
            <w:vAlign w:val="bottom"/>
          </w:tcPr>
          <w:p>
            <w:pPr>
              <w:pStyle w:val="TableContents"/>
              <w:bidi w:val="0"/>
              <w:spacing w:before="0" w:after="283"/>
              <w:jc w:val="left"/>
              <w:rPr/>
            </w:pPr>
            <w:r>
              <w:rPr/>
              <w:t>% </w:t>
            </w:r>
          </w:p>
        </w:tc>
      </w:tr>
      <w:tr>
        <w:trPr/>
        <w:tc>
          <w:tcPr>
            <w:tcW w:w="4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4,248</w:t>
            </w:r>
          </w:p>
        </w:tc>
        <w:tc>
          <w:tcPr>
            <w:tcW w:w="1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3,209</w:t>
            </w:r>
          </w:p>
        </w:tc>
        <w:tc>
          <w:tcPr>
            <w:tcW w:w="1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bidi w:val="0"/>
              <w:spacing w:before="0" w:after="283"/>
              <w:jc w:val="right"/>
              <w:rPr/>
            </w:pPr>
            <w:r>
              <w:rPr/>
              <w:t>(1,039</w:t>
            </w:r>
          </w:p>
        </w:tc>
        <w:tc>
          <w:tcPr>
            <w:tcW w:w="1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(24</w:t>
            </w:r>
          </w:p>
        </w:tc>
        <w:tc>
          <w:tcPr>
            <w:tcW w:w="358" w:type="dxa"/>
            <w:tcBorders/>
            <w:shd w:fill="CCEEFF" w:val="clear"/>
            <w:vAlign w:val="bottom"/>
          </w:tcPr>
          <w:p>
            <w:pPr>
              <w:pStyle w:val="TableContents"/>
              <w:bidi w:val="0"/>
              <w:spacing w:before="0" w:after="283"/>
              <w:jc w:val="left"/>
              <w:rPr/>
            </w:pPr>
            <w:r>
              <w:rPr/>
              <w:t>)% </w:t>
            </w:r>
          </w:p>
        </w:tc>
      </w:tr>
      <w:tr>
        <w:trPr/>
        <w:tc>
          <w:tcPr>
            <w:tcW w:w="4551"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051"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4551"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16,104</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19,955</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27" w:type="dxa"/>
            <w:tcBorders/>
            <w:vAlign w:val="bottom"/>
          </w:tcPr>
          <w:p>
            <w:pPr>
              <w:pStyle w:val="TableContents"/>
              <w:bidi w:val="0"/>
              <w:spacing w:before="0" w:after="283"/>
              <w:jc w:val="right"/>
              <w:rPr/>
            </w:pPr>
            <w:r>
              <w:rPr/>
              <w:t>3,851</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24</w:t>
            </w:r>
          </w:p>
        </w:tc>
        <w:tc>
          <w:tcPr>
            <w:tcW w:w="358" w:type="dxa"/>
            <w:tcBorders/>
            <w:vAlign w:val="bottom"/>
          </w:tcPr>
          <w:p>
            <w:pPr>
              <w:pStyle w:val="TableContents"/>
              <w:bidi w:val="0"/>
              <w:spacing w:before="0" w:after="283"/>
              <w:jc w:val="left"/>
              <w:rPr/>
            </w:pPr>
            <w:r>
              <w:rPr/>
              <w:t>% </w:t>
            </w:r>
          </w:p>
        </w:tc>
      </w:tr>
      <w:tr>
        <w:trPr/>
        <w:tc>
          <w:tcPr>
            <w:tcW w:w="4551"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051"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4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(16,104</w:t>
            </w:r>
          </w:p>
        </w:tc>
        <w:tc>
          <w:tcPr>
            <w:tcW w:w="1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(19,955</w:t>
            </w:r>
          </w:p>
        </w:tc>
        <w:tc>
          <w:tcPr>
            <w:tcW w:w="1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bidi w:val="0"/>
              <w:spacing w:before="0" w:after="283"/>
              <w:jc w:val="right"/>
              <w:rPr/>
            </w:pPr>
            <w:r>
              <w:rPr/>
              <w:t>(3,851</w:t>
            </w:r>
          </w:p>
        </w:tc>
        <w:tc>
          <w:tcPr>
            <w:tcW w:w="1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24</w:t>
            </w:r>
          </w:p>
        </w:tc>
        <w:tc>
          <w:tcPr>
            <w:tcW w:w="358" w:type="dxa"/>
            <w:tcBorders/>
            <w:shd w:fill="CCEEFF" w:val="clear"/>
            <w:vAlign w:val="bottom"/>
          </w:tcPr>
          <w:p>
            <w:pPr>
              <w:pStyle w:val="TableContents"/>
              <w:bidi w:val="0"/>
              <w:spacing w:before="0" w:after="283"/>
              <w:jc w:val="left"/>
              <w:rPr/>
            </w:pPr>
            <w:r>
              <w:rPr/>
              <w:t>% </w:t>
            </w:r>
          </w:p>
        </w:tc>
      </w:tr>
      <w:tr>
        <w:trPr/>
        <w:tc>
          <w:tcPr>
            <w:tcW w:w="4551"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72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051"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4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1,126</w:t>
            </w:r>
          </w:p>
        </w:tc>
        <w:tc>
          <w:tcPr>
            <w:tcW w:w="1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1,326</w:t>
            </w:r>
          </w:p>
        </w:tc>
        <w:tc>
          <w:tcPr>
            <w:tcW w:w="1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bidi w:val="0"/>
              <w:spacing w:before="0" w:after="283"/>
              <w:jc w:val="right"/>
              <w:rPr/>
            </w:pPr>
            <w:r>
              <w:rPr/>
              <w:t>200</w:t>
            </w:r>
          </w:p>
        </w:tc>
        <w:tc>
          <w:tcPr>
            <w:tcW w:w="1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18</w:t>
            </w:r>
          </w:p>
        </w:tc>
        <w:tc>
          <w:tcPr>
            <w:tcW w:w="358" w:type="dxa"/>
            <w:tcBorders/>
            <w:shd w:fill="CCEEFF" w:val="clear"/>
            <w:vAlign w:val="bottom"/>
          </w:tcPr>
          <w:p>
            <w:pPr>
              <w:pStyle w:val="TableContents"/>
              <w:bidi w:val="0"/>
              <w:spacing w:before="0" w:after="283"/>
              <w:jc w:val="left"/>
              <w:rPr/>
            </w:pPr>
            <w:r>
              <w:rPr/>
              <w:t>% </w:t>
            </w:r>
          </w:p>
        </w:tc>
      </w:tr>
      <w:tr>
        <w:trPr/>
        <w:tc>
          <w:tcPr>
            <w:tcW w:w="4551"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preferred stock tranche liability</w:t>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(170</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27" w:type="dxa"/>
            <w:tcBorders/>
            <w:vAlign w:val="bottom"/>
          </w:tcPr>
          <w:p>
            <w:pPr>
              <w:pStyle w:val="TableContents"/>
              <w:bidi w:val="0"/>
              <w:spacing w:before="0" w:after="283"/>
              <w:jc w:val="right"/>
              <w:rPr/>
            </w:pPr>
            <w:r>
              <w:rPr/>
              <w:t>170</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(100</w:t>
            </w:r>
          </w:p>
        </w:tc>
        <w:tc>
          <w:tcPr>
            <w:tcW w:w="358" w:type="dxa"/>
            <w:tcBorders/>
            <w:vAlign w:val="bottom"/>
          </w:tcPr>
          <w:p>
            <w:pPr>
              <w:pStyle w:val="TableContents"/>
              <w:bidi w:val="0"/>
              <w:spacing w:before="0" w:after="283"/>
              <w:jc w:val="left"/>
              <w:rPr/>
            </w:pPr>
            <w:r>
              <w:rPr/>
              <w:t>)% </w:t>
            </w:r>
          </w:p>
        </w:tc>
      </w:tr>
      <w:tr>
        <w:trPr/>
        <w:tc>
          <w:tcPr>
            <w:tcW w:w="4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2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w:t>
            </w:r>
          </w:p>
        </w:tc>
        <w:tc>
          <w:tcPr>
            <w:tcW w:w="358" w:type="dxa"/>
            <w:tcBorders/>
            <w:shd w:fill="CCEEFF" w:val="clear"/>
            <w:vAlign w:val="bottom"/>
          </w:tcPr>
          <w:p>
            <w:pPr>
              <w:pStyle w:val="TableContents"/>
              <w:bidi w:val="0"/>
              <w:spacing w:before="0" w:after="283"/>
              <w:jc w:val="left"/>
              <w:rPr/>
            </w:pPr>
            <w:r>
              <w:rPr/>
              <w:t> </w:t>
            </w:r>
          </w:p>
        </w:tc>
      </w:tr>
      <w:tr>
        <w:trPr/>
        <w:tc>
          <w:tcPr>
            <w:tcW w:w="4551"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051"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4551"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953</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1,299</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27" w:type="dxa"/>
            <w:tcBorders/>
            <w:vAlign w:val="bottom"/>
          </w:tcPr>
          <w:p>
            <w:pPr>
              <w:pStyle w:val="TableContents"/>
              <w:bidi w:val="0"/>
              <w:spacing w:before="0" w:after="283"/>
              <w:jc w:val="right"/>
              <w:rPr/>
            </w:pPr>
            <w:r>
              <w:rPr/>
              <w:t>346</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w:t>
            </w:r>
          </w:p>
        </w:tc>
        <w:tc>
          <w:tcPr>
            <w:tcW w:w="358" w:type="dxa"/>
            <w:tcBorders/>
            <w:vAlign w:val="bottom"/>
          </w:tcPr>
          <w:p>
            <w:pPr>
              <w:pStyle w:val="TableContents"/>
              <w:bidi w:val="0"/>
              <w:spacing w:before="0" w:after="283"/>
              <w:jc w:val="left"/>
              <w:rPr/>
            </w:pPr>
            <w:r>
              <w:rPr/>
              <w:t> </w:t>
            </w:r>
          </w:p>
        </w:tc>
      </w:tr>
      <w:tr>
        <w:trPr/>
        <w:tc>
          <w:tcPr>
            <w:tcW w:w="4551"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051"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4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(15,151</w:t>
            </w:r>
          </w:p>
        </w:tc>
        <w:tc>
          <w:tcPr>
            <w:tcW w:w="1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(18,656</w:t>
            </w:r>
          </w:p>
        </w:tc>
        <w:tc>
          <w:tcPr>
            <w:tcW w:w="1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727" w:type="dxa"/>
            <w:tcBorders/>
            <w:shd w:fill="CCEEFF" w:val="clear"/>
            <w:vAlign w:val="bottom"/>
          </w:tcPr>
          <w:p>
            <w:pPr>
              <w:pStyle w:val="TableContents"/>
              <w:bidi w:val="0"/>
              <w:spacing w:before="0" w:after="283"/>
              <w:jc w:val="right"/>
              <w:rPr/>
            </w:pPr>
            <w:r>
              <w:rPr/>
              <w:t>(3,505</w:t>
            </w:r>
          </w:p>
        </w:tc>
        <w:tc>
          <w:tcPr>
            <w:tcW w:w="1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23</w:t>
            </w:r>
          </w:p>
        </w:tc>
        <w:tc>
          <w:tcPr>
            <w:tcW w:w="358" w:type="dxa"/>
            <w:tcBorders/>
            <w:shd w:fill="CCEEFF" w:val="clear"/>
            <w:vAlign w:val="bottom"/>
          </w:tcPr>
          <w:p>
            <w:pPr>
              <w:pStyle w:val="TableContents"/>
              <w:bidi w:val="0"/>
              <w:spacing w:before="0" w:after="283"/>
              <w:jc w:val="left"/>
              <w:rPr/>
            </w:pPr>
            <w:r>
              <w:rPr/>
              <w:t>% </w:t>
            </w:r>
          </w:p>
        </w:tc>
      </w:tr>
      <w:tr>
        <w:trPr/>
        <w:tc>
          <w:tcPr>
            <w:tcW w:w="4551"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72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051"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Not meaningful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summarizes our research and development expenses for the three months ended March 31, 2025 and 2026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0"/>
        <w:gridCol w:w="158"/>
        <w:gridCol w:w="170"/>
        <w:gridCol w:w="859"/>
        <w:gridCol w:w="72"/>
        <w:gridCol w:w="230"/>
        <w:gridCol w:w="170"/>
        <w:gridCol w:w="862"/>
        <w:gridCol w:w="60"/>
        <w:gridCol w:w="209"/>
        <w:gridCol w:w="163"/>
        <w:gridCol w:w="659"/>
        <w:gridCol w:w="60"/>
        <w:gridCol w:w="209"/>
        <w:gridCol w:w="152"/>
        <w:gridCol w:w="668"/>
        <w:gridCol w:w="294"/>
      </w:tblGrid>
      <w:tr>
        <w:trPr/>
        <w:tc>
          <w:tcPr>
            <w:tcW w:w="5210"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521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36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2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r>
      <w:tr>
        <w:trPr/>
        <w:tc>
          <w:tcPr>
            <w:tcW w:w="521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72"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0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Change</w:t>
            </w:r>
          </w:p>
        </w:tc>
        <w:tc>
          <w:tcPr>
            <w:tcW w:w="294" w:type="dxa"/>
            <w:tcBorders/>
            <w:vAlign w:val="bottom"/>
          </w:tcPr>
          <w:p>
            <w:pPr>
              <w:pStyle w:val="TableContents"/>
              <w:bidi w:val="0"/>
              <w:spacing w:before="0" w:after="283"/>
              <w:jc w:val="left"/>
              <w:rPr/>
            </w:pPr>
            <w:r>
              <w:rPr/>
              <w:t> </w:t>
            </w:r>
          </w:p>
        </w:tc>
      </w:tr>
      <w:tr>
        <w:trPr/>
        <w:tc>
          <w:tcPr>
            <w:tcW w:w="521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363" w:type="dxa"/>
            <w:gridSpan w:val="6"/>
            <w:tcBorders/>
            <w:vAlign w:val="bottom"/>
          </w:tcPr>
          <w:p>
            <w:pPr>
              <w:pStyle w:val="TableContents"/>
              <w:bidi w:val="0"/>
              <w:spacing w:before="0" w:after="283"/>
              <w:jc w:val="center"/>
              <w:rPr>
                <w:b/>
              </w:rPr>
            </w:pPr>
            <w:r>
              <w:rPr>
                <w:b/>
              </w:rPr>
              <w:t>(unaudited)</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2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r>
      <w:tr>
        <w:trPr/>
        <w:tc>
          <w:tcPr>
            <w:tcW w:w="5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costs:</w:t>
            </w:r>
          </w:p>
        </w:tc>
        <w:tc>
          <w:tcPr>
            <w:tcW w:w="15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859"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8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6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668" w:type="dxa"/>
            <w:tcBorders/>
            <w:shd w:fill="CCEEFF" w:val="clear"/>
            <w:vAlign w:val="bottom"/>
          </w:tcPr>
          <w:p>
            <w:pPr>
              <w:pStyle w:val="TableContents"/>
              <w:bidi w:val="0"/>
              <w:spacing w:before="0" w:after="283"/>
              <w:jc w:val="left"/>
              <w:rPr>
                <w:sz w:val="4"/>
                <w:szCs w:val="4"/>
              </w:rPr>
            </w:pPr>
            <w:r>
              <w:rPr>
                <w:sz w:val="4"/>
                <w:szCs w:val="4"/>
              </w:rPr>
            </w:r>
          </w:p>
        </w:tc>
        <w:tc>
          <w:tcPr>
            <w:tcW w:w="294" w:type="dxa"/>
            <w:tcBorders/>
            <w:shd w:fill="CCEEFF" w:val="clear"/>
            <w:vAlign w:val="bottom"/>
          </w:tcPr>
          <w:p>
            <w:pPr>
              <w:pStyle w:val="TableContents"/>
              <w:bidi w:val="0"/>
              <w:spacing w:before="0" w:after="283"/>
              <w:jc w:val="left"/>
              <w:rPr>
                <w:sz w:val="4"/>
                <w:szCs w:val="4"/>
              </w:rPr>
            </w:pPr>
            <w:r>
              <w:rPr>
                <w:sz w:val="4"/>
                <w:szCs w:val="4"/>
              </w:rPr>
            </w:r>
          </w:p>
        </w:tc>
      </w:tr>
      <w:tr>
        <w:trPr/>
        <w:tc>
          <w:tcPr>
            <w:tcW w:w="5210" w:type="dxa"/>
            <w:tcBorders/>
          </w:tcPr>
          <w:p>
            <w:pPr>
              <w:pStyle w:val="TableContents"/>
              <w:bidi w:val="0"/>
              <w:spacing w:before="0" w:after="0"/>
              <w:jc w:val="left"/>
              <w:rPr>
                <w:rFonts w:ascii="Times New Roman" w:hAnsi="Times New Roman"/>
                <w:sz w:val="20"/>
              </w:rPr>
            </w:pPr>
            <w:r>
              <w:rPr>
                <w:rFonts w:ascii="Times New Roman" w:hAnsi="Times New Roman"/>
                <w:sz w:val="20"/>
              </w:rPr>
              <w:t>Clinical, manufacturing, and preclinical services</w:t>
            </w:r>
          </w:p>
        </w:tc>
        <w:tc>
          <w:tcPr>
            <w:tcW w:w="15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859" w:type="dxa"/>
            <w:tcBorders/>
            <w:vAlign w:val="bottom"/>
          </w:tcPr>
          <w:p>
            <w:pPr>
              <w:pStyle w:val="TableContents"/>
              <w:bidi w:val="0"/>
              <w:spacing w:before="0" w:after="283"/>
              <w:jc w:val="right"/>
              <w:rPr/>
            </w:pPr>
            <w:r>
              <w:rPr/>
              <w:t>8,010</w:t>
            </w:r>
          </w:p>
        </w:tc>
        <w:tc>
          <w:tcPr>
            <w:tcW w:w="72"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862" w:type="dxa"/>
            <w:tcBorders/>
            <w:vAlign w:val="bottom"/>
          </w:tcPr>
          <w:p>
            <w:pPr>
              <w:pStyle w:val="TableContents"/>
              <w:bidi w:val="0"/>
              <w:spacing w:before="0" w:after="283"/>
              <w:jc w:val="right"/>
              <w:rPr/>
            </w:pPr>
            <w:r>
              <w:rPr/>
              <w:t>11,895</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659" w:type="dxa"/>
            <w:tcBorders/>
            <w:vAlign w:val="bottom"/>
          </w:tcPr>
          <w:p>
            <w:pPr>
              <w:pStyle w:val="TableContents"/>
              <w:bidi w:val="0"/>
              <w:spacing w:before="0" w:after="283"/>
              <w:jc w:val="right"/>
              <w:rPr/>
            </w:pPr>
            <w:r>
              <w:rPr/>
              <w:t>3,885</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49</w:t>
            </w:r>
          </w:p>
        </w:tc>
        <w:tc>
          <w:tcPr>
            <w:tcW w:w="294" w:type="dxa"/>
            <w:tcBorders/>
            <w:vAlign w:val="bottom"/>
          </w:tcPr>
          <w:p>
            <w:pPr>
              <w:pStyle w:val="TableContents"/>
              <w:bidi w:val="0"/>
              <w:spacing w:before="0" w:after="283"/>
              <w:jc w:val="left"/>
              <w:rPr/>
            </w:pPr>
            <w:r>
              <w:rPr/>
              <w:t>% </w:t>
            </w:r>
          </w:p>
        </w:tc>
      </w:tr>
      <w:tr>
        <w:trPr/>
        <w:tc>
          <w:tcPr>
            <w:tcW w:w="5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Professional consulting services</w:t>
            </w:r>
          </w:p>
        </w:tc>
        <w:tc>
          <w:tcPr>
            <w:tcW w:w="15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528</w:t>
            </w:r>
          </w:p>
        </w:tc>
        <w:tc>
          <w:tcPr>
            <w:tcW w:w="72"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618</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90</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17</w:t>
            </w:r>
          </w:p>
        </w:tc>
        <w:tc>
          <w:tcPr>
            <w:tcW w:w="294" w:type="dxa"/>
            <w:tcBorders/>
            <w:shd w:fill="CCEEFF" w:val="clear"/>
            <w:vAlign w:val="bottom"/>
          </w:tcPr>
          <w:p>
            <w:pPr>
              <w:pStyle w:val="TableContents"/>
              <w:bidi w:val="0"/>
              <w:spacing w:before="0" w:after="283"/>
              <w:jc w:val="left"/>
              <w:rPr/>
            </w:pPr>
            <w:r>
              <w:rPr/>
              <w:t>% </w:t>
            </w:r>
          </w:p>
        </w:tc>
      </w:tr>
      <w:tr>
        <w:trPr/>
        <w:tc>
          <w:tcPr>
            <w:tcW w:w="5210" w:type="dxa"/>
            <w:tcBorders/>
          </w:tcPr>
          <w:p>
            <w:pPr>
              <w:pStyle w:val="TableContents"/>
              <w:bidi w:val="0"/>
              <w:spacing w:before="0" w:after="0"/>
              <w:jc w:val="left"/>
              <w:rPr>
                <w:rFonts w:ascii="Times New Roman" w:hAnsi="Times New Roman"/>
                <w:sz w:val="20"/>
              </w:rPr>
            </w:pPr>
            <w:r>
              <w:rPr>
                <w:rFonts w:ascii="Times New Roman" w:hAnsi="Times New Roman"/>
                <w:sz w:val="20"/>
              </w:rPr>
              <w:t>Consumables and other research and development costs</w:t>
            </w:r>
          </w:p>
        </w:tc>
        <w:tc>
          <w:tcPr>
            <w:tcW w:w="15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553</w:t>
            </w:r>
          </w:p>
        </w:tc>
        <w:tc>
          <w:tcPr>
            <w:tcW w:w="72"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752</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199</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36</w:t>
            </w:r>
          </w:p>
        </w:tc>
        <w:tc>
          <w:tcPr>
            <w:tcW w:w="294" w:type="dxa"/>
            <w:tcBorders/>
            <w:vAlign w:val="bottom"/>
          </w:tcPr>
          <w:p>
            <w:pPr>
              <w:pStyle w:val="TableContents"/>
              <w:bidi w:val="0"/>
              <w:spacing w:before="0" w:after="283"/>
              <w:jc w:val="left"/>
              <w:rPr/>
            </w:pPr>
            <w:r>
              <w:rPr/>
              <w:t>% </w:t>
            </w:r>
          </w:p>
        </w:tc>
      </w:tr>
      <w:tr>
        <w:trPr/>
        <w:tc>
          <w:tcPr>
            <w:tcW w:w="5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Internal costs:</w:t>
            </w:r>
          </w:p>
        </w:tc>
        <w:tc>
          <w:tcPr>
            <w:tcW w:w="15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859"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8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6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668" w:type="dxa"/>
            <w:tcBorders/>
            <w:shd w:fill="CCEEFF" w:val="clear"/>
            <w:vAlign w:val="bottom"/>
          </w:tcPr>
          <w:p>
            <w:pPr>
              <w:pStyle w:val="TableContents"/>
              <w:bidi w:val="0"/>
              <w:spacing w:before="0" w:after="283"/>
              <w:jc w:val="left"/>
              <w:rPr>
                <w:sz w:val="4"/>
                <w:szCs w:val="4"/>
              </w:rPr>
            </w:pPr>
            <w:r>
              <w:rPr>
                <w:sz w:val="4"/>
                <w:szCs w:val="4"/>
              </w:rPr>
            </w:r>
          </w:p>
        </w:tc>
        <w:tc>
          <w:tcPr>
            <w:tcW w:w="294" w:type="dxa"/>
            <w:tcBorders/>
            <w:shd w:fill="CCEEFF" w:val="clear"/>
            <w:vAlign w:val="bottom"/>
          </w:tcPr>
          <w:p>
            <w:pPr>
              <w:pStyle w:val="TableContents"/>
              <w:bidi w:val="0"/>
              <w:spacing w:before="0" w:after="283"/>
              <w:jc w:val="left"/>
              <w:rPr>
                <w:sz w:val="4"/>
                <w:szCs w:val="4"/>
              </w:rPr>
            </w:pPr>
            <w:r>
              <w:rPr>
                <w:sz w:val="4"/>
                <w:szCs w:val="4"/>
              </w:rPr>
            </w:r>
          </w:p>
        </w:tc>
      </w:tr>
      <w:tr>
        <w:trPr/>
        <w:tc>
          <w:tcPr>
            <w:tcW w:w="5210" w:type="dxa"/>
            <w:tcBorders/>
          </w:tcPr>
          <w:p>
            <w:pPr>
              <w:pStyle w:val="TableContents"/>
              <w:bidi w:val="0"/>
              <w:spacing w:before="0" w:after="0"/>
              <w:jc w:val="left"/>
              <w:rPr>
                <w:rFonts w:ascii="Times New Roman" w:hAnsi="Times New Roman"/>
                <w:sz w:val="20"/>
              </w:rPr>
            </w:pPr>
            <w:r>
              <w:rPr>
                <w:rFonts w:ascii="Times New Roman" w:hAnsi="Times New Roman"/>
                <w:sz w:val="20"/>
              </w:rPr>
              <w:t>Personnel-related costs</w:t>
            </w:r>
          </w:p>
        </w:tc>
        <w:tc>
          <w:tcPr>
            <w:tcW w:w="15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2,512</w:t>
            </w:r>
          </w:p>
        </w:tc>
        <w:tc>
          <w:tcPr>
            <w:tcW w:w="72"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3,017</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505</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20</w:t>
            </w:r>
          </w:p>
        </w:tc>
        <w:tc>
          <w:tcPr>
            <w:tcW w:w="294" w:type="dxa"/>
            <w:tcBorders/>
            <w:vAlign w:val="bottom"/>
          </w:tcPr>
          <w:p>
            <w:pPr>
              <w:pStyle w:val="TableContents"/>
              <w:bidi w:val="0"/>
              <w:spacing w:before="0" w:after="283"/>
              <w:jc w:val="left"/>
              <w:rPr/>
            </w:pPr>
            <w:r>
              <w:rPr/>
              <w:t>% </w:t>
            </w:r>
          </w:p>
        </w:tc>
      </w:tr>
      <w:tr>
        <w:trPr/>
        <w:tc>
          <w:tcPr>
            <w:tcW w:w="5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Facilities and overhead costs</w:t>
            </w:r>
          </w:p>
        </w:tc>
        <w:tc>
          <w:tcPr>
            <w:tcW w:w="15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253</w:t>
            </w:r>
          </w:p>
        </w:tc>
        <w:tc>
          <w:tcPr>
            <w:tcW w:w="72"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464</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211</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83</w:t>
            </w:r>
          </w:p>
        </w:tc>
        <w:tc>
          <w:tcPr>
            <w:tcW w:w="294" w:type="dxa"/>
            <w:tcBorders/>
            <w:shd w:fill="CCEEFF" w:val="clear"/>
            <w:vAlign w:val="bottom"/>
          </w:tcPr>
          <w:p>
            <w:pPr>
              <w:pStyle w:val="TableContents"/>
              <w:bidi w:val="0"/>
              <w:spacing w:before="0" w:after="283"/>
              <w:jc w:val="left"/>
              <w:rPr/>
            </w:pPr>
            <w:r>
              <w:rPr/>
              <w:t>% </w:t>
            </w:r>
          </w:p>
        </w:tc>
      </w:tr>
      <w:tr>
        <w:trPr/>
        <w:tc>
          <w:tcPr>
            <w:tcW w:w="5210"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8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668"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r>
      <w:tr>
        <w:trPr/>
        <w:tc>
          <w:tcPr>
            <w:tcW w:w="5210" w:type="dxa"/>
            <w:tcBorders/>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15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859" w:type="dxa"/>
            <w:tcBorders/>
            <w:vAlign w:val="bottom"/>
          </w:tcPr>
          <w:p>
            <w:pPr>
              <w:pStyle w:val="TableContents"/>
              <w:bidi w:val="0"/>
              <w:spacing w:before="0" w:after="283"/>
              <w:jc w:val="right"/>
              <w:rPr/>
            </w:pPr>
            <w:r>
              <w:rPr/>
              <w:t>11,856</w:t>
            </w:r>
          </w:p>
        </w:tc>
        <w:tc>
          <w:tcPr>
            <w:tcW w:w="72"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862" w:type="dxa"/>
            <w:tcBorders/>
            <w:vAlign w:val="bottom"/>
          </w:tcPr>
          <w:p>
            <w:pPr>
              <w:pStyle w:val="TableContents"/>
              <w:bidi w:val="0"/>
              <w:spacing w:before="0" w:after="283"/>
              <w:jc w:val="right"/>
              <w:rPr/>
            </w:pPr>
            <w:r>
              <w:rPr/>
              <w:t>16,746</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659" w:type="dxa"/>
            <w:tcBorders/>
            <w:vAlign w:val="bottom"/>
          </w:tcPr>
          <w:p>
            <w:pPr>
              <w:pStyle w:val="TableContents"/>
              <w:bidi w:val="0"/>
              <w:spacing w:before="0" w:after="283"/>
              <w:jc w:val="right"/>
              <w:rPr/>
            </w:pPr>
            <w:r>
              <w:rPr/>
              <w:t>4,890</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41</w:t>
            </w:r>
          </w:p>
        </w:tc>
        <w:tc>
          <w:tcPr>
            <w:tcW w:w="294" w:type="dxa"/>
            <w:tcBorders/>
            <w:vAlign w:val="bottom"/>
          </w:tcPr>
          <w:p>
            <w:pPr>
              <w:pStyle w:val="TableContents"/>
              <w:bidi w:val="0"/>
              <w:spacing w:before="0" w:after="283"/>
              <w:jc w:val="left"/>
              <w:rPr/>
            </w:pPr>
            <w:r>
              <w:rPr/>
              <w:t>% </w:t>
            </w:r>
          </w:p>
        </w:tc>
      </w:tr>
      <w:tr>
        <w:trPr/>
        <w:tc>
          <w:tcPr>
            <w:tcW w:w="5210"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859" w:type="dxa"/>
            <w:tcBorders/>
            <w:vAlign w:val="bottom"/>
          </w:tcPr>
          <w:p>
            <w:pPr>
              <w:pStyle w:val="TableContents"/>
              <w:pBdr>
                <w:top w:val="double" w:sz="6"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86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6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668"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both"/>
        <w:rPr>
          <w:rFonts w:ascii="Times New Roman" w:hAnsi="Times New Roman"/>
          <w:sz w:val="20"/>
        </w:rPr>
      </w:pPr>
      <w:r>
        <w:rPr>
          <w:rFonts w:ascii="Times New Roman" w:hAnsi="Times New Roman"/>
          <w:sz w:val="20"/>
        </w:rPr>
        <w:t xml:space="preserve">Research and development expenses increased by $4.9 million, from $11.9 million for the three months ended March 31, 2025 to $16.7 million for the three months ended March 31, 2026. The increase was primarily attributable to the following: Clinical, manufacturing, and preclinical services increased by $3.9 million from $8.0 million for the three months ended March 31, 2025 to $11.9 million for the three months ended March 31, 2026, primarily due to increased CRO and CMO activities related to ATTO-1310, ATTO-3712 and ATTO-1091 development.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Personnel-related costs increased by $0.5 million, from $2.5 million for the three months ended March 31, 2025 to $3.0 million for the three months ended March 31, 2026, primarily due to an increase in headcount to support our programs and higher stock-based compensation expense.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both"/>
        <w:rPr>
          <w:rFonts w:ascii="Times New Roman" w:hAnsi="Times New Roman"/>
          <w:sz w:val="20"/>
        </w:rPr>
      </w:pPr>
      <w:r>
        <w:rPr>
          <w:rFonts w:ascii="Times New Roman" w:hAnsi="Times New Roman"/>
          <w:sz w:val="20"/>
        </w:rPr>
        <w:t xml:space="preserve">General and administrative expenses decreased by $1.0 million, from $4.2 million for the three months ended March 31, 2025 to $3.2 million for the three months ended March 31, 2026. The decrease was driven primarily by lower legal, accounting and other professional services compared to the prior period, when we incurred a higher amount of public company readiness activities.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both"/>
        <w:rPr>
          <w:rFonts w:ascii="Times New Roman" w:hAnsi="Times New Roman"/>
          <w:sz w:val="20"/>
        </w:rPr>
      </w:pPr>
      <w:r>
        <w:rPr>
          <w:rFonts w:ascii="Times New Roman" w:hAnsi="Times New Roman"/>
          <w:sz w:val="20"/>
        </w:rPr>
        <w:t xml:space="preserve">Interest income increased by $0.2 million, from $1.1 million for the three months ended March 31, 2025 to $1.3 million for the three months ended March 31, 2026 as a result of higher investment balances during the three months ended March 31, 2026 compared to the three months ended March 31, 2025. </w:t>
      </w:r>
    </w:p>
    <w:p>
      <w:pPr>
        <w:pStyle w:val="TextBody"/>
        <w:bidi w:val="0"/>
        <w:spacing w:before="360" w:after="0"/>
        <w:jc w:val="left"/>
        <w:rPr>
          <w:rFonts w:ascii="Times New Roman" w:hAnsi="Times New Roman"/>
          <w:i/>
          <w:sz w:val="20"/>
        </w:rPr>
      </w:pPr>
      <w:r>
        <w:rPr>
          <w:rFonts w:ascii="Times New Roman" w:hAnsi="Times New Roman"/>
          <w:i/>
          <w:sz w:val="20"/>
        </w:rPr>
        <w:t xml:space="preserve">Change in Fair Value of Preferred Stock Tranche Liability </w:t>
      </w:r>
    </w:p>
    <w:p>
      <w:pPr>
        <w:pStyle w:val="TextBody"/>
        <w:bidi w:val="0"/>
        <w:spacing w:before="120" w:after="0"/>
        <w:jc w:val="both"/>
        <w:rPr>
          <w:rFonts w:ascii="Times New Roman" w:hAnsi="Times New Roman"/>
          <w:sz w:val="20"/>
        </w:rPr>
      </w:pPr>
      <w:r>
        <w:rPr>
          <w:rFonts w:ascii="Times New Roman" w:hAnsi="Times New Roman"/>
          <w:sz w:val="20"/>
        </w:rPr>
        <w:t xml:space="preserve">Our Series B preferred stock tranche was settled in January 2025 when the Series B milestone was achieved. The remeasurement of the related liability resulted in an approximately $0.2 million loss during the three months ended March 31, 2025.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both"/>
        <w:rPr>
          <w:rFonts w:ascii="Times New Roman" w:hAnsi="Times New Roman"/>
          <w:b/>
          <w:i/>
          <w:sz w:val="20"/>
        </w:rPr>
      </w:pPr>
      <w:r>
        <w:rPr>
          <w:rFonts w:ascii="Times New Roman" w:hAnsi="Times New Roman"/>
          <w:b/>
          <w:i/>
          <w:sz w:val="20"/>
        </w:rPr>
        <w:t xml:space="preserve">Sources of Liquidity </w:t>
      </w:r>
    </w:p>
    <w:p>
      <w:pPr>
        <w:pStyle w:val="TextBody"/>
        <w:bidi w:val="0"/>
        <w:spacing w:before="120" w:after="0"/>
        <w:jc w:val="both"/>
        <w:rPr>
          <w:rFonts w:ascii="Times New Roman" w:hAnsi="Times New Roman"/>
          <w:sz w:val="20"/>
        </w:rPr>
      </w:pPr>
      <w:r>
        <w:rPr>
          <w:rFonts w:ascii="Times New Roman" w:hAnsi="Times New Roman"/>
          <w:sz w:val="20"/>
        </w:rPr>
        <w:t xml:space="preserve">Since our inception, we have not generated any revenue from product sales and have incurred significant operating losses and negative cash flows from our operations. From inception, we have primarily funded our operations from sales of shares of our redeemable convertible preferred stock in private placements. </w:t>
      </w:r>
    </w:p>
    <w:p>
      <w:pPr>
        <w:pStyle w:val="TextBody"/>
        <w:bidi w:val="0"/>
        <w:spacing w:before="240" w:after="0"/>
        <w:jc w:val="both"/>
        <w:rPr>
          <w:rFonts w:ascii="Times New Roman" w:hAnsi="Times New Roman"/>
          <w:sz w:val="20"/>
        </w:rPr>
      </w:pPr>
      <w:r>
        <w:rPr>
          <w:rFonts w:ascii="Times New Roman" w:hAnsi="Times New Roman"/>
          <w:sz w:val="20"/>
        </w:rPr>
        <w:t xml:space="preserve">As of March 31, 2026, we had $132.6 million in cash, cash equivalents and marketable securities, which we believe will be sufficient to fund our projected operating expenses and capital expenditure requirements for at least the next 12 months from the issuance of the unaudited interim condensed financial statements. Based on our current operating plan, we estimate that our existing cash, cash equivalents and marketable securities as of the date of this prospectus, together with the estimated net proceeds from this offering, will be sufficient to fund our projected operating expenses and capital expenditure requirements into 2029. </w:t>
      </w:r>
    </w:p>
    <w:p>
      <w:pPr>
        <w:pStyle w:val="TextBody"/>
        <w:bidi w:val="0"/>
        <w:spacing w:before="360" w:after="0"/>
        <w:jc w:val="both"/>
        <w:rPr>
          <w:rFonts w:ascii="Times New Roman" w:hAnsi="Times New Roman"/>
          <w:b/>
          <w:i/>
          <w:sz w:val="20"/>
        </w:rPr>
      </w:pPr>
      <w:r>
        <w:rPr>
          <w:rFonts w:ascii="Times New Roman" w:hAnsi="Times New Roman"/>
          <w:b/>
          <w:i/>
          <w:sz w:val="20"/>
        </w:rPr>
        <w:t xml:space="preserve">Future Funding Requirements </w:t>
      </w:r>
    </w:p>
    <w:p>
      <w:pPr>
        <w:pStyle w:val="TextBody"/>
        <w:bidi w:val="0"/>
        <w:spacing w:before="120" w:after="0"/>
        <w:jc w:val="both"/>
        <w:rPr>
          <w:rFonts w:ascii="Times New Roman" w:hAnsi="Times New Roman"/>
          <w:sz w:val="20"/>
        </w:rPr>
      </w:pPr>
      <w:r>
        <w:rPr>
          <w:rFonts w:ascii="Times New Roman" w:hAnsi="Times New Roman"/>
          <w:sz w:val="20"/>
        </w:rPr>
        <w:t xml:space="preserve">Our primary uses of cash are to fund our operations, which consist primarily of research and development expenditures related to our programs and, to a lesser extent, general and administrative expenditures. We anticipate that we will continue to incur significant and increasing expenses for the foreseeable future as we continue to advance our product candidates, further our research and development initiatives for our product candidates, expand our corporate infrastructure, including the costs associated with being a public company, and incur costs associated with potential commercialization. We are subject to all of the risks typically related to the development of new drug candidates, and we may encounter unforeseen expenses, difficulties, complications, delays and other unknown factors that may adversely affect our business. </w:t>
      </w:r>
    </w:p>
    <w:p>
      <w:pPr>
        <w:pStyle w:val="TextBody"/>
        <w:bidi w:val="0"/>
        <w:spacing w:before="240" w:after="0"/>
        <w:jc w:val="both"/>
        <w:rPr>
          <w:rFonts w:ascii="Times New Roman" w:hAnsi="Times New Roman"/>
          <w:sz w:val="20"/>
        </w:rPr>
      </w:pPr>
      <w:r>
        <w:rPr>
          <w:rFonts w:ascii="Times New Roman" w:hAnsi="Times New Roman"/>
          <w:sz w:val="20"/>
        </w:rPr>
        <w:t xml:space="preserve">Cash used to fund operating expenses is impacted by the timing of when we pay these expenses, as reflected in the change in our outstanding accounts payable, accrued expenses, and prepaid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Our future funding requirements will depend on many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progress, timing and results of preclinical studies and clinical trials for ATTO-1310, ATTO-2306, ATTO-1091 or any future product candidates, including the costs of any third-party products used as combination agents in our combination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further development of our ATTOBODY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extent to which we develop, in-license or acquire any future product candidates or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number and development requirements of any future product candidates that we may pursue, and other indications for our current product candidates that we may pursue;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timing and outcome of obtaining regulatory approvals of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scope and costs of making arrangements with third-party manufacturers, or establishing manufacturing capabilities, for both clinical and commercial supplies of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involved in growing our organization to the size needed to allow for the research, development and potential commercialization of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associated with commercializing any approved product candidates, including establishing sales, marketing, market access and distribution capabilities;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the extent we pursue strategic collaborations, including collaborations to commercialize ATTO-1310, ATTO-2306, ATTO-1091 or any of our future product candidates, our ability to establish and maintain collaborations on favorable terms, if at all, as well as the timing and amount of any milestone or royalty payments we are required to make or are eligible to receive under such collaborations or our current licenses;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associated with completing any post-marketing studies or trials required by FDA, or other comparable foreign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revenue, if any, received from commercial sales of ATTO-1310, ATTO-2306, ATTO-1091 or any of our future product candidates, if any are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achieve sufficient market acceptance, coverage, and adequate reimbursement from third-party payors and adequate market share and revenue for any approved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patients’ willingness to pay out-of-pocket for any approved products in the absence of coverage and/or adequate reimbursement from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of preparing, filing and prosecuting patent applications, maintaining and enforcing our intellectual property rights and defending intellectual property-related claims that we may become subject to, including any litigation costs and the outcome of such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efforts to enhance operational systems and hire additional personnel to satisfy our obligations as a public company, including enhanced 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associated with hiring additional personnel and consultants as our clinical and preclinical activities increase;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associated with potential product liability claims, including the costs associated with obtaining insurance against such claims and with defending against such claims;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effects of competing technological and market developments as well as disruptions to and volatility in the credit and financial markets. </w:t>
            </w:r>
          </w:p>
        </w:tc>
      </w:tr>
    </w:tbl>
    <w:p>
      <w:pPr>
        <w:pStyle w:val="TextBody"/>
        <w:bidi w:val="0"/>
        <w:spacing w:before="240" w:after="0"/>
        <w:jc w:val="both"/>
        <w:rPr>
          <w:rFonts w:ascii="Times New Roman" w:hAnsi="Times New Roman"/>
          <w:sz w:val="20"/>
        </w:rPr>
      </w:pPr>
      <w:r>
        <w:rPr>
          <w:rFonts w:ascii="Times New Roman" w:hAnsi="Times New Roman"/>
          <w:sz w:val="20"/>
        </w:rPr>
        <w:t xml:space="preserve">Furthermore, our operating plans may change, and we may need additional funds to meet operational needs and capital requirements for clinical trials and other research and development expenditures.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Until such time as we can generate significant revenue from product sales, if ever, we expect to finance our operations through public or private equity or debt financing, or potentially other capital sources, such as collaboration or licensing arrangements with third parties or other strategic transactions. There are no assurances that we will be successful in obtaining an adequate level of financing to support our business plans when needed on acceptable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additional funds through collaboration or licensing arrangements with third parties or other strategic transactions, we may have to relinquish rights to our intellectual property, future revenue streams, research programs, or product candidates or grant licenses on terms that may not be favorable to us. If we are unable to raise capital as and when needed or on attractive terms, we may have to significantly delay, reduce, or discontinue the development and commercialization of our product candidates or scale back or terminate our pursuit of new in-licenses and acquisitions. </w:t>
      </w:r>
    </w:p>
    <w:p>
      <w:pPr>
        <w:pStyle w:val="TextBody"/>
        <w:bidi w:val="0"/>
        <w:spacing w:before="360" w:after="0"/>
        <w:jc w:val="both"/>
        <w:rPr>
          <w:rFonts w:ascii="Times New Roman" w:hAnsi="Times New Roman"/>
          <w:b/>
          <w:i/>
          <w:sz w:val="20"/>
        </w:rPr>
      </w:pPr>
      <w:r>
        <w:rPr>
          <w:rFonts w:ascii="Times New Roman" w:hAnsi="Times New Roman"/>
          <w:b/>
          <w:i/>
          <w:sz w:val="20"/>
        </w:rPr>
        <w:t xml:space="preserve">Cash Flows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summarizes our cash flows for the periods indicated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23"/>
        <w:gridCol w:w="205"/>
        <w:gridCol w:w="189"/>
        <w:gridCol w:w="1002"/>
        <w:gridCol w:w="204"/>
        <w:gridCol w:w="175"/>
        <w:gridCol w:w="189"/>
        <w:gridCol w:w="1046"/>
        <w:gridCol w:w="155"/>
        <w:gridCol w:w="162"/>
        <w:gridCol w:w="140"/>
        <w:gridCol w:w="814"/>
        <w:gridCol w:w="155"/>
        <w:gridCol w:w="162"/>
        <w:gridCol w:w="140"/>
        <w:gridCol w:w="780"/>
        <w:gridCol w:w="164"/>
      </w:tblGrid>
      <w:tr>
        <w:trPr/>
        <w:tc>
          <w:tcPr>
            <w:tcW w:w="4523"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523"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280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19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r>
          </w:p>
        </w:tc>
        <w:tc>
          <w:tcPr>
            <w:tcW w:w="164" w:type="dxa"/>
            <w:tcBorders/>
            <w:vAlign w:val="bottom"/>
          </w:tcPr>
          <w:p>
            <w:pPr>
              <w:pStyle w:val="TableContents"/>
              <w:bidi w:val="0"/>
              <w:spacing w:before="0" w:after="283"/>
              <w:jc w:val="left"/>
              <w:rPr/>
            </w:pPr>
            <w:r>
              <w:rPr/>
              <w:t> </w:t>
            </w:r>
          </w:p>
        </w:tc>
      </w:tr>
      <w:tr>
        <w:trPr/>
        <w:tc>
          <w:tcPr>
            <w:tcW w:w="4523"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0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4" w:type="dxa"/>
            <w:tcBorders/>
            <w:vAlign w:val="bottom"/>
          </w:tcPr>
          <w:p>
            <w:pPr>
              <w:pStyle w:val="TableContents"/>
              <w:bidi w:val="0"/>
              <w:spacing w:before="0" w:after="283"/>
              <w:jc w:val="left"/>
              <w:rPr/>
            </w:pPr>
            <w:r>
              <w:rPr/>
              <w:t> </w:t>
            </w:r>
          </w:p>
        </w:tc>
      </w:tr>
      <w:tr>
        <w:trPr/>
        <w:tc>
          <w:tcPr>
            <w:tcW w:w="4523"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91" w:type="dxa"/>
            <w:gridSpan w:val="2"/>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3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191" w:type="dxa"/>
            <w:gridSpan w:val="6"/>
            <w:tcBorders/>
            <w:vAlign w:val="bottom"/>
          </w:tcPr>
          <w:p>
            <w:pPr>
              <w:pStyle w:val="TableContents"/>
              <w:bidi w:val="0"/>
              <w:spacing w:before="0" w:after="283"/>
              <w:jc w:val="center"/>
              <w:rPr>
                <w:b/>
              </w:rPr>
            </w:pPr>
            <w:r>
              <w:rPr>
                <w:b/>
              </w:rPr>
              <w:t>(unaudited)</w:t>
            </w:r>
          </w:p>
        </w:tc>
        <w:tc>
          <w:tcPr>
            <w:tcW w:w="164" w:type="dxa"/>
            <w:tcBorders/>
            <w:vAlign w:val="bottom"/>
          </w:tcPr>
          <w:p>
            <w:pPr>
              <w:pStyle w:val="TableContents"/>
              <w:bidi w:val="0"/>
              <w:spacing w:before="0" w:after="283"/>
              <w:jc w:val="left"/>
              <w:rPr/>
            </w:pPr>
            <w:r>
              <w:rPr/>
              <w:t> </w:t>
            </w:r>
          </w:p>
        </w:tc>
      </w:tr>
      <w:tr>
        <w:trPr/>
        <w:tc>
          <w:tcPr>
            <w:tcW w:w="45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provided by:</w:t>
            </w:r>
          </w:p>
        </w:tc>
        <w:tc>
          <w:tcPr>
            <w:tcW w:w="20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0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4523" w:type="dxa"/>
            <w:tcBorders/>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20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w:t>
            </w:r>
          </w:p>
        </w:tc>
        <w:tc>
          <w:tcPr>
            <w:tcW w:w="1002" w:type="dxa"/>
            <w:tcBorders/>
            <w:vAlign w:val="bottom"/>
          </w:tcPr>
          <w:p>
            <w:pPr>
              <w:pStyle w:val="TableContents"/>
              <w:bidi w:val="0"/>
              <w:spacing w:before="0" w:after="283"/>
              <w:jc w:val="right"/>
              <w:rPr/>
            </w:pPr>
            <w:r>
              <w:rPr/>
              <w:t>(35,035</w:t>
            </w:r>
          </w:p>
        </w:tc>
        <w:tc>
          <w:tcPr>
            <w:tcW w:w="20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w:t>
            </w:r>
          </w:p>
        </w:tc>
        <w:tc>
          <w:tcPr>
            <w:tcW w:w="1046" w:type="dxa"/>
            <w:tcBorders/>
            <w:vAlign w:val="bottom"/>
          </w:tcPr>
          <w:p>
            <w:pPr>
              <w:pStyle w:val="TableContents"/>
              <w:bidi w:val="0"/>
              <w:spacing w:before="0" w:after="283"/>
              <w:jc w:val="right"/>
              <w:rPr/>
            </w:pPr>
            <w:r>
              <w:rPr/>
              <w:t>(59,199</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4" w:type="dxa"/>
            <w:tcBorders/>
            <w:vAlign w:val="bottom"/>
          </w:tcPr>
          <w:p>
            <w:pPr>
              <w:pStyle w:val="TableContents"/>
              <w:bidi w:val="0"/>
              <w:spacing w:before="0" w:after="283"/>
              <w:jc w:val="right"/>
              <w:rPr/>
            </w:pPr>
            <w:r>
              <w:rPr/>
              <w:t>(14,131</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80" w:type="dxa"/>
            <w:tcBorders/>
            <w:vAlign w:val="bottom"/>
          </w:tcPr>
          <w:p>
            <w:pPr>
              <w:pStyle w:val="TableContents"/>
              <w:bidi w:val="0"/>
              <w:spacing w:before="0" w:after="283"/>
              <w:jc w:val="right"/>
              <w:rPr/>
            </w:pPr>
            <w:r>
              <w:rPr/>
              <w:t>(18,141</w:t>
            </w:r>
          </w:p>
        </w:tc>
        <w:tc>
          <w:tcPr>
            <w:tcW w:w="164" w:type="dxa"/>
            <w:tcBorders/>
            <w:vAlign w:val="bottom"/>
          </w:tcPr>
          <w:p>
            <w:pPr>
              <w:pStyle w:val="TableContents"/>
              <w:bidi w:val="0"/>
              <w:spacing w:before="0" w:after="283"/>
              <w:jc w:val="left"/>
              <w:rPr/>
            </w:pPr>
            <w:r>
              <w:rPr/>
              <w:t>) </w:t>
            </w:r>
          </w:p>
        </w:tc>
      </w:tr>
      <w:tr>
        <w:trPr/>
        <w:tc>
          <w:tcPr>
            <w:tcW w:w="45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20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(39,804</w:t>
            </w:r>
          </w:p>
        </w:tc>
        <w:tc>
          <w:tcPr>
            <w:tcW w:w="20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283"/>
              <w:jc w:val="right"/>
              <w:rPr/>
            </w:pPr>
            <w:r>
              <w:rPr/>
              <w:t>(73,455</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(29,294</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22,486</w:t>
            </w:r>
          </w:p>
        </w:tc>
        <w:tc>
          <w:tcPr>
            <w:tcW w:w="164" w:type="dxa"/>
            <w:tcBorders/>
            <w:shd w:fill="CCEEFF" w:val="clear"/>
            <w:vAlign w:val="bottom"/>
          </w:tcPr>
          <w:p>
            <w:pPr>
              <w:pStyle w:val="TableContents"/>
              <w:bidi w:val="0"/>
              <w:spacing w:before="0" w:after="283"/>
              <w:jc w:val="left"/>
              <w:rPr/>
            </w:pPr>
            <w:r>
              <w:rPr/>
              <w:t> </w:t>
            </w:r>
          </w:p>
        </w:tc>
      </w:tr>
      <w:tr>
        <w:trPr/>
        <w:tc>
          <w:tcPr>
            <w:tcW w:w="4523" w:type="dxa"/>
            <w:tcBorders/>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20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82,746</w:t>
            </w:r>
          </w:p>
        </w:tc>
        <w:tc>
          <w:tcPr>
            <w:tcW w:w="20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283"/>
              <w:jc w:val="right"/>
              <w:rPr/>
            </w:pPr>
            <w:r>
              <w:rPr/>
              <w:t>142,012</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141,894</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(1,241</w:t>
            </w:r>
          </w:p>
        </w:tc>
        <w:tc>
          <w:tcPr>
            <w:tcW w:w="164" w:type="dxa"/>
            <w:tcBorders/>
            <w:vAlign w:val="bottom"/>
          </w:tcPr>
          <w:p>
            <w:pPr>
              <w:pStyle w:val="TableContents"/>
              <w:bidi w:val="0"/>
              <w:spacing w:before="0" w:after="283"/>
              <w:jc w:val="left"/>
              <w:rPr/>
            </w:pPr>
            <w:r>
              <w:rPr/>
              <w:t>) </w:t>
            </w:r>
          </w:p>
        </w:tc>
      </w:tr>
      <w:tr>
        <w:trPr/>
        <w:tc>
          <w:tcPr>
            <w:tcW w:w="4523"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0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5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 in cash, cash equivalents and restricted cash</w:t>
            </w:r>
          </w:p>
        </w:tc>
        <w:tc>
          <w:tcPr>
            <w:tcW w:w="20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w:t>
            </w:r>
          </w:p>
        </w:tc>
        <w:tc>
          <w:tcPr>
            <w:tcW w:w="1002" w:type="dxa"/>
            <w:tcBorders/>
            <w:shd w:fill="CCEEFF" w:val="clear"/>
            <w:vAlign w:val="bottom"/>
          </w:tcPr>
          <w:p>
            <w:pPr>
              <w:pStyle w:val="TableContents"/>
              <w:bidi w:val="0"/>
              <w:spacing w:before="0" w:after="283"/>
              <w:jc w:val="right"/>
              <w:rPr/>
            </w:pPr>
            <w:r>
              <w:rPr/>
              <w:t>7,907</w:t>
            </w:r>
          </w:p>
        </w:tc>
        <w:tc>
          <w:tcPr>
            <w:tcW w:w="20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w:t>
            </w:r>
          </w:p>
        </w:tc>
        <w:tc>
          <w:tcPr>
            <w:tcW w:w="1046" w:type="dxa"/>
            <w:tcBorders/>
            <w:shd w:fill="CCEEFF" w:val="clear"/>
            <w:vAlign w:val="bottom"/>
          </w:tcPr>
          <w:p>
            <w:pPr>
              <w:pStyle w:val="TableContents"/>
              <w:bidi w:val="0"/>
              <w:spacing w:before="0" w:after="283"/>
              <w:jc w:val="right"/>
              <w:rPr/>
            </w:pPr>
            <w:r>
              <w:rPr/>
              <w:t>9,358</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98,469</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0" w:type="dxa"/>
            <w:tcBorders/>
            <w:shd w:fill="CCEEFF" w:val="clear"/>
            <w:vAlign w:val="bottom"/>
          </w:tcPr>
          <w:p>
            <w:pPr>
              <w:pStyle w:val="TableContents"/>
              <w:bidi w:val="0"/>
              <w:spacing w:before="0" w:after="283"/>
              <w:jc w:val="right"/>
              <w:rPr/>
            </w:pPr>
            <w:r>
              <w:rPr/>
              <w:t>3,104</w:t>
            </w:r>
          </w:p>
        </w:tc>
        <w:tc>
          <w:tcPr>
            <w:tcW w:w="164" w:type="dxa"/>
            <w:tcBorders/>
            <w:shd w:fill="CCEEFF" w:val="clear"/>
            <w:vAlign w:val="bottom"/>
          </w:tcPr>
          <w:p>
            <w:pPr>
              <w:pStyle w:val="TableContents"/>
              <w:bidi w:val="0"/>
              <w:spacing w:before="0" w:after="283"/>
              <w:jc w:val="left"/>
              <w:rPr/>
            </w:pPr>
            <w:r>
              <w:rPr/>
              <w:t> </w:t>
            </w:r>
          </w:p>
        </w:tc>
      </w:tr>
      <w:tr>
        <w:trPr/>
        <w:tc>
          <w:tcPr>
            <w:tcW w:w="4523"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double" w:sz="6" w:space="1" w:color="000000"/>
              </w:pBdr>
              <w:bidi w:val="0"/>
              <w:spacing w:before="0" w:after="0"/>
              <w:jc w:val="left"/>
              <w:rPr/>
            </w:pPr>
            <w:r>
              <w:rPr/>
              <w:t> </w:t>
            </w:r>
          </w:p>
        </w:tc>
        <w:tc>
          <w:tcPr>
            <w:tcW w:w="1002" w:type="dxa"/>
            <w:tcBorders/>
            <w:vAlign w:val="bottom"/>
          </w:tcPr>
          <w:p>
            <w:pPr>
              <w:pStyle w:val="TableContents"/>
              <w:pBdr>
                <w:top w:val="double" w:sz="6"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double" w:sz="6" w:space="1" w:color="000000"/>
              </w:pBdr>
              <w:bidi w:val="0"/>
              <w:spacing w:before="0" w:after="0"/>
              <w:jc w:val="left"/>
              <w:rPr/>
            </w:pPr>
            <w:r>
              <w:rPr/>
              <w:t> </w:t>
            </w:r>
          </w:p>
        </w:tc>
        <w:tc>
          <w:tcPr>
            <w:tcW w:w="10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0"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both"/>
        <w:rPr>
          <w:rFonts w:ascii="Times New Roman" w:hAnsi="Times New Roman"/>
          <w:sz w:val="20"/>
        </w:rPr>
      </w:pPr>
      <w:r>
        <w:rPr>
          <w:rFonts w:ascii="Times New Roman" w:hAnsi="Times New Roman"/>
          <w:sz w:val="20"/>
        </w:rPr>
        <w:t xml:space="preserve">During the year ended December 31, 2024, net cash used in operating activities was $35.0 million, consisting of a net loss of $39.8 million, partially offset by non-cash charges of $3.2 million and a decrease in net operating assets of $1.5 million. The net loss was primarily due to our operating expenses as we invest in our research and development efforts. Non-cash charges consisted primarily of the loss from change in fair value of preferred stock tranche liability, stock-based compensation, non-cash lease expenses and depreciation expenses, partially offset by net amortization of premiums and accretion of discounts on marketable securities. The decrease in net operating assets was primarily due to an increase in accrued and other current liabilities and accounts payable, partially offset by an increase in prepaid expenses and other current assets and a decrease in operating lease liability. </w:t>
      </w:r>
    </w:p>
    <w:p>
      <w:pPr>
        <w:pStyle w:val="TextBody"/>
        <w:bidi w:val="0"/>
        <w:spacing w:before="240" w:after="0"/>
        <w:jc w:val="both"/>
        <w:rPr>
          <w:rFonts w:ascii="Times New Roman" w:hAnsi="Times New Roman"/>
          <w:sz w:val="20"/>
        </w:rPr>
      </w:pPr>
      <w:r>
        <w:rPr>
          <w:rFonts w:ascii="Times New Roman" w:hAnsi="Times New Roman"/>
          <w:sz w:val="20"/>
        </w:rPr>
        <w:t xml:space="preserve">During the year ended December 31, 2025, net cash used in operating activities was $59.2 million, consisting of a net loss of $60.6 million, partially offset by non-cash charges of $1.2 million and a decrease in net operating assets of $0.3 million. The net loss was primarily due to our operating expenses as we invest in our research and development efforts. Non-cash charges consisted primarily of stock-based compensation, non-cash lease expenses and depreciation expenses, partially offset by net accretion of discounts on marketable securities and non-cash consideration for collaboration revenue. The decrease in net operating assets was primarily due to an increase in accrued and other current liabilities, partially offset by an increase in prepaid expenses and other current assets and a decrease in operating lease liability. </w:t>
      </w:r>
    </w:p>
    <w:p>
      <w:pPr>
        <w:pStyle w:val="TextBody"/>
        <w:bidi w:val="0"/>
        <w:spacing w:before="240" w:after="0"/>
        <w:jc w:val="both"/>
        <w:rPr>
          <w:rFonts w:ascii="Times New Roman" w:hAnsi="Times New Roman"/>
          <w:sz w:val="20"/>
        </w:rPr>
      </w:pPr>
      <w:r>
        <w:rPr>
          <w:rFonts w:ascii="Times New Roman" w:hAnsi="Times New Roman"/>
          <w:sz w:val="20"/>
        </w:rPr>
        <w:t xml:space="preserve">During the three months ended March 31, 2025, net cash used in operating activities was $14.1 million, consisting of a net loss of $15.2 million, partially offset by non-cash charges of $1.0 million. The net loss was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primarily due to our operating expenses as we invest in our research and development efforts. Non-cash charges consisted primarily of stock-based compensation, non-cash lease expenses and depreciation expenses, and write-off of deferred offering costs, partially offset by net accretion of discounts on marketable securities. </w:t>
      </w:r>
    </w:p>
    <w:p>
      <w:pPr>
        <w:pStyle w:val="TextBody"/>
        <w:bidi w:val="0"/>
        <w:spacing w:before="240" w:after="0"/>
        <w:jc w:val="both"/>
        <w:rPr>
          <w:rFonts w:ascii="Times New Roman" w:hAnsi="Times New Roman"/>
          <w:sz w:val="20"/>
        </w:rPr>
      </w:pPr>
      <w:r>
        <w:rPr>
          <w:rFonts w:ascii="Times New Roman" w:hAnsi="Times New Roman"/>
          <w:sz w:val="20"/>
        </w:rPr>
        <w:t xml:space="preserve">During the three months ended March 31, 2026, net cash used in operating activities was $18.1 million, consisting of a net loss of $18.7 million and an increase in net operating assets of $0.5 million, partially offset by non-cash charges of $1.1 million. The net loss was primarily due to our operating expenses as we invest in our research and development efforts. The increase in net operating assets was primarily due to a decrease in operating lease liability. Non-cash charges consisted primarily of stock-based compensation and non-cash lease expense, partially offset by net accretion of discounts on marketable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both"/>
        <w:rPr>
          <w:rFonts w:ascii="Times New Roman" w:hAnsi="Times New Roman"/>
          <w:sz w:val="20"/>
        </w:rPr>
      </w:pPr>
      <w:r>
        <w:rPr>
          <w:rFonts w:ascii="Times New Roman" w:hAnsi="Times New Roman"/>
          <w:sz w:val="20"/>
        </w:rPr>
        <w:t xml:space="preserve">During the year ended December 31, 2024, net cash used in investing activities was $39.8 million, consisting of net purchases of marketable securities of $38.0 million and purchases of property and equipment of $1.8 million. </w:t>
      </w:r>
    </w:p>
    <w:p>
      <w:pPr>
        <w:pStyle w:val="TextBody"/>
        <w:bidi w:val="0"/>
        <w:spacing w:before="240" w:after="0"/>
        <w:jc w:val="both"/>
        <w:rPr>
          <w:rFonts w:ascii="Times New Roman" w:hAnsi="Times New Roman"/>
          <w:sz w:val="20"/>
        </w:rPr>
      </w:pPr>
      <w:r>
        <w:rPr>
          <w:rFonts w:ascii="Times New Roman" w:hAnsi="Times New Roman"/>
          <w:sz w:val="20"/>
        </w:rPr>
        <w:t xml:space="preserve">During the year ended December 31, 2025, net cash used in investing activities was $73.5 million, consisting of net purchases of marketable securities of $71.1 million and purchases of property and equipment of $2.3 million. </w:t>
      </w:r>
    </w:p>
    <w:p>
      <w:pPr>
        <w:pStyle w:val="TextBody"/>
        <w:bidi w:val="0"/>
        <w:spacing w:before="240" w:after="0"/>
        <w:jc w:val="both"/>
        <w:rPr>
          <w:rFonts w:ascii="Times New Roman" w:hAnsi="Times New Roman"/>
          <w:sz w:val="20"/>
        </w:rPr>
      </w:pPr>
      <w:r>
        <w:rPr>
          <w:rFonts w:ascii="Times New Roman" w:hAnsi="Times New Roman"/>
          <w:sz w:val="20"/>
        </w:rPr>
        <w:t xml:space="preserve">During the three months ended March 31, 2025, net cash used in investing activities was $29.3 million, consisting of net purchases of marketable securities of $27.5 million and purchases of property and equipment of $1.8 million. </w:t>
      </w:r>
    </w:p>
    <w:p>
      <w:pPr>
        <w:pStyle w:val="TextBody"/>
        <w:bidi w:val="0"/>
        <w:spacing w:before="240" w:after="0"/>
        <w:jc w:val="both"/>
        <w:rPr>
          <w:rFonts w:ascii="Times New Roman" w:hAnsi="Times New Roman"/>
          <w:sz w:val="20"/>
        </w:rPr>
      </w:pPr>
      <w:r>
        <w:rPr>
          <w:rFonts w:ascii="Times New Roman" w:hAnsi="Times New Roman"/>
          <w:sz w:val="20"/>
        </w:rPr>
        <w:t xml:space="preserve">During the three months ended March 31, 2026, net cash provided by investing activities was $22.5 million, consisting of net proceeds from maturities of marketable securities of $22.8 million, partially offset by purchases of property and equipment of $0.3 million.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both"/>
        <w:rPr>
          <w:rFonts w:ascii="Times New Roman" w:hAnsi="Times New Roman"/>
          <w:sz w:val="20"/>
        </w:rPr>
      </w:pPr>
      <w:r>
        <w:rPr>
          <w:rFonts w:ascii="Times New Roman" w:hAnsi="Times New Roman"/>
          <w:sz w:val="20"/>
        </w:rPr>
        <w:t xml:space="preserve">During the year ended December 31, 2024, net cash provided by financing activities was $82.7 million, consisting primarily of $52.2 million in net proceeds from issuance of the first tranche of our Series B redeemable convertible preferred stock net of issuance costs, $30.4 million in net proceeds from issuance of our Series A-2 redeemable convertible preferred stock and $0.3 million in proceeds from the exercise of common stock options, partially offset by principal payments on finance lease liabilities of $0.2 million. </w:t>
      </w:r>
    </w:p>
    <w:p>
      <w:pPr>
        <w:pStyle w:val="TextBody"/>
        <w:bidi w:val="0"/>
        <w:spacing w:before="240" w:after="0"/>
        <w:jc w:val="both"/>
        <w:rPr>
          <w:rFonts w:ascii="Times New Roman" w:hAnsi="Times New Roman"/>
          <w:sz w:val="20"/>
        </w:rPr>
      </w:pPr>
      <w:r>
        <w:rPr>
          <w:rFonts w:ascii="Times New Roman" w:hAnsi="Times New Roman"/>
          <w:sz w:val="20"/>
        </w:rPr>
        <w:t xml:space="preserve">During the year ended December 31, 2025, net cash provided by financing activities was $142.0 million, consisting of $89.7 million in net proceeds from the issuance of our Series C redeemable convertible preferred stock net of issuance costs, $52.5 million in net proceeds from issuance of the second tranche of our Series B redeemable convertible preferred stock net of issuance costs and $0.2 million in proceeds from the exercise of common stock options, partially offset by payments of deferred offering costs of $0.4 million. </w:t>
      </w:r>
    </w:p>
    <w:p>
      <w:pPr>
        <w:pStyle w:val="TextBody"/>
        <w:bidi w:val="0"/>
        <w:spacing w:before="240" w:after="0"/>
        <w:jc w:val="both"/>
        <w:rPr>
          <w:rFonts w:ascii="Times New Roman" w:hAnsi="Times New Roman"/>
          <w:sz w:val="20"/>
        </w:rPr>
      </w:pPr>
      <w:r>
        <w:rPr>
          <w:rFonts w:ascii="Times New Roman" w:hAnsi="Times New Roman"/>
          <w:sz w:val="20"/>
        </w:rPr>
        <w:t xml:space="preserve">During the three months ended March 31, 2025, net cash provided by financing activities was $141.9 million, consisting primarily of $89.7 million in net proceeds from the issuance of our Series C redeemable convertible preferred stock net of issuance costs and $52.5 million in net proceeds from issuance of the second tranche of our Series B redeemable convertible preferred stock net of issuance costs, partially offset by payments of deferred offering costs of $0.3 million. </w:t>
      </w:r>
    </w:p>
    <w:p>
      <w:pPr>
        <w:pStyle w:val="TextBody"/>
        <w:bidi w:val="0"/>
        <w:spacing w:before="240" w:after="0"/>
        <w:jc w:val="both"/>
        <w:rPr>
          <w:rFonts w:ascii="Times New Roman" w:hAnsi="Times New Roman"/>
          <w:sz w:val="20"/>
        </w:rPr>
      </w:pPr>
      <w:r>
        <w:rPr>
          <w:rFonts w:ascii="Times New Roman" w:hAnsi="Times New Roman"/>
          <w:sz w:val="20"/>
        </w:rPr>
        <w:t xml:space="preserve">During the three months ended March 31, 2026, net cash used in financing activities was $1.2 million, consisting primarily of payments of deferred offering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 xml:space="preserve">Contractual Obligations and Other Commitments </w:t>
      </w:r>
    </w:p>
    <w:p>
      <w:pPr>
        <w:pStyle w:val="TextBody"/>
        <w:bidi w:val="0"/>
        <w:spacing w:before="120" w:after="0"/>
        <w:jc w:val="both"/>
        <w:rPr>
          <w:rFonts w:ascii="Times New Roman" w:hAnsi="Times New Roman"/>
          <w:sz w:val="20"/>
        </w:rPr>
      </w:pPr>
      <w:r>
        <w:rPr>
          <w:rFonts w:ascii="Times New Roman" w:hAnsi="Times New Roman"/>
          <w:sz w:val="20"/>
        </w:rPr>
        <w:t xml:space="preserve">We have milestones and royalty payments due to Alamar under the Alamar Platform License Agreement. See Note 5 to our audited consolidated financial statements included elsewhere in this prospectus. We recorded $0.3 million as research and development expenses in the statement of operations and comprehensive loss during the year ended December 31, 2024, related to probability of achieving a development milestone under the Alamar Platform License Agreement. We recorded $0.3 million as research and development expenses in the consolidated statement of operations during the year ended December 31, 2025, related to achievement of a development milestone for ATTO-3712. We could not estimate when other payments will be due but none of these events were probable to occur as of December 31, 2025 and March 31, 2026. </w:t>
      </w:r>
    </w:p>
    <w:p>
      <w:pPr>
        <w:pStyle w:val="TextBody"/>
        <w:bidi w:val="0"/>
        <w:spacing w:before="240" w:after="0"/>
        <w:jc w:val="both"/>
        <w:rPr>
          <w:rFonts w:ascii="Times New Roman" w:hAnsi="Times New Roman"/>
          <w:sz w:val="20"/>
        </w:rPr>
      </w:pPr>
      <w:r>
        <w:rPr>
          <w:rFonts w:ascii="Times New Roman" w:hAnsi="Times New Roman"/>
          <w:sz w:val="20"/>
        </w:rPr>
        <w:t xml:space="preserve">We entered into a new lease for office and lab space commencing on January 31, 2025, and expiring on June 30, 2028. Total future minimum lease commitments under the lease agreement as of March 31, 2026 are $5.2 million. </w:t>
      </w:r>
    </w:p>
    <w:p>
      <w:pPr>
        <w:pStyle w:val="TextBody"/>
        <w:bidi w:val="0"/>
        <w:spacing w:before="240" w:after="0"/>
        <w:jc w:val="both"/>
        <w:rPr>
          <w:rFonts w:ascii="Times New Roman" w:hAnsi="Times New Roman"/>
          <w:sz w:val="20"/>
        </w:rPr>
      </w:pPr>
      <w:r>
        <w:rPr>
          <w:rFonts w:ascii="Times New Roman" w:hAnsi="Times New Roman"/>
          <w:sz w:val="20"/>
        </w:rPr>
        <w:t xml:space="preserve">We enter into contracts in the normal course of business with suppliers, CROs, CMOs, clinical trial sites, and similar service providers. These agreements provide for termination at the request of either party generally with less than one-year notice and, therefore, we believe that our non-cancellable obligations under these agreements are not material. We do not currently expect any of these agreements to be terminated and did not have any non-cancelable obligations under these agreements as of December 31, 2025 and March 31, 2026.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and Significant Judgments and Estimates </w:t>
      </w:r>
    </w:p>
    <w:p>
      <w:pPr>
        <w:pStyle w:val="TextBody"/>
        <w:bidi w:val="0"/>
        <w:spacing w:before="120" w:after="0"/>
        <w:jc w:val="both"/>
        <w:rPr>
          <w:rFonts w:ascii="Times New Roman" w:hAnsi="Times New Roman"/>
          <w:sz w:val="20"/>
        </w:rPr>
      </w:pPr>
      <w:r>
        <w:rPr>
          <w:rFonts w:ascii="Times New Roman" w:hAnsi="Times New Roman"/>
          <w:sz w:val="20"/>
        </w:rPr>
        <w:t xml:space="preserve">Our management’s discussion and analysis of our financial condition and results of operations is based on our consolidated financial statements, which have been prepared in accordance with accounting principles generally accepted in the United States of America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On an ongoing basis, we evaluate our estimates and judgments, including but not limited to those related to accrued research and development costs, the fair value of common stock and stock-based compensation expense, and preferred stock tranche liabilities. These estimates and assumptions are monitored and analyzed by us for changes in facts and circumstances, and material changes in these estimates and assumptions could occur in the future.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from these estimates under different assumptions or conditions. </w:t>
      </w:r>
    </w:p>
    <w:p>
      <w:pPr>
        <w:pStyle w:val="TextBody"/>
        <w:bidi w:val="0"/>
        <w:spacing w:before="240" w:after="0"/>
        <w:jc w:val="both"/>
        <w:rPr>
          <w:rFonts w:ascii="Times New Roman" w:hAnsi="Times New Roman"/>
          <w:sz w:val="20"/>
        </w:rPr>
      </w:pPr>
      <w:r>
        <w:rPr>
          <w:rFonts w:ascii="Times New Roman" w:hAnsi="Times New Roman"/>
          <w:sz w:val="20"/>
        </w:rPr>
        <w:t xml:space="preserve">Although our significant accounting policies are described in more detail in Note 2 to our audited consolidated financial statements included in this prospectus, we believe that the following accounting policies are those most critical to the judgments and estimates used in the preparation of our consolidated financial statements. </w:t>
      </w:r>
    </w:p>
    <w:p>
      <w:pPr>
        <w:pStyle w:val="TextBody"/>
        <w:bidi w:val="0"/>
        <w:spacing w:before="360" w:after="0"/>
        <w:jc w:val="both"/>
        <w:rPr>
          <w:rFonts w:ascii="Times New Roman" w:hAnsi="Times New Roman"/>
          <w:b/>
          <w:i/>
          <w:sz w:val="20"/>
        </w:rPr>
      </w:pPr>
      <w:r>
        <w:rPr>
          <w:rFonts w:ascii="Times New Roman" w:hAnsi="Times New Roman"/>
          <w:b/>
          <w:i/>
          <w:sz w:val="20"/>
        </w:rPr>
        <w:t xml:space="preserve">Accrued Research and Development Expenses </w:t>
      </w:r>
    </w:p>
    <w:p>
      <w:pPr>
        <w:pStyle w:val="TextBody"/>
        <w:bidi w:val="0"/>
        <w:spacing w:before="120" w:after="0"/>
        <w:jc w:val="both"/>
        <w:rPr>
          <w:rFonts w:ascii="Times New Roman" w:hAnsi="Times New Roman"/>
          <w:sz w:val="20"/>
        </w:rPr>
      </w:pPr>
      <w:r>
        <w:rPr>
          <w:rFonts w:ascii="Times New Roman" w:hAnsi="Times New Roman"/>
          <w:sz w:val="20"/>
        </w:rPr>
        <w:t xml:space="preserve">As part of the process of preparing our consolidated financial statements, we are required to estimate our accrued research and development expenses, including those related to clinical trials and product candidate manufacturing. This process involves reviewing open contracts and purchase orders, communicating with our applicable personnel to identify services that have been performed on our behalf and estimating the level of service performed and the associated cost incurred for the services when we have not yet been invoiced or otherwise notified of actual costs. Our service providers invoice us in arrears or require prepayments for services performed, as well as on a pre-determined schedule or when contractual milestones are met. We make estimates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of our accrued expenses as of each balance sheet date in the consolidated financial statements based on facts and circumstances known to us at that time. We periodically confirm the accuracy of the estimates with the service providers and make adjustments if necessary. Examples of estimated accrued research and development expenses include fees paid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vendors in connection with preclinical and clinical development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CROs in connection with clinical trials;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CMOs in connection with the process development and scale-up activities and the production of preclinical and clinical trial materials. </w:t>
            </w:r>
          </w:p>
        </w:tc>
      </w:tr>
    </w:tbl>
    <w:p>
      <w:pPr>
        <w:pStyle w:val="TextBody"/>
        <w:bidi w:val="0"/>
        <w:spacing w:before="240" w:after="0"/>
        <w:jc w:val="both"/>
        <w:rPr>
          <w:rFonts w:ascii="Times New Roman" w:hAnsi="Times New Roman"/>
          <w:sz w:val="20"/>
        </w:rPr>
      </w:pPr>
      <w:r>
        <w:rPr>
          <w:rFonts w:ascii="Times New Roman" w:hAnsi="Times New Roman"/>
          <w:sz w:val="20"/>
        </w:rPr>
        <w:t xml:space="preserve">Costs for clinical trials and manufacturing activities are recognized based on an evaluation of our vendors’ progress towards completion of specific tasks, using data such as participant enrollment, clinical site activations or information provided to us by our vendors regarding their actual costs incurred. Payments for these activities are based on the terms of individual contracts and payment timing may differ significantly from the period in which the services were performed. We determine accrual estimates through reports from and discussions with applicable personnel and outside service providers as to the progress or state of completion of studies, or the services completed. Our estimates of accrued expenses as of each balance sheet date are based on the facts and circumstances known at the time. Costs that are paid in advance of performance are deferred as a prepaid expense and amortized over the service period as the services are provided. </w:t>
      </w:r>
    </w:p>
    <w:p>
      <w:pPr>
        <w:pStyle w:val="TextBody"/>
        <w:bidi w:val="0"/>
        <w:spacing w:before="240" w:after="0"/>
        <w:jc w:val="both"/>
        <w:rPr>
          <w:rFonts w:ascii="Times New Roman" w:hAnsi="Times New Roman"/>
          <w:sz w:val="20"/>
        </w:rPr>
      </w:pPr>
      <w:r>
        <w:rPr>
          <w:rFonts w:ascii="Times New Roman" w:hAnsi="Times New Roman"/>
          <w:sz w:val="20"/>
        </w:rPr>
        <w:t xml:space="preserve">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 However, due to the nature of estimates, we cannot assure that we will not make changes to our estimates in the future as we become aware of additional information about the status or conduct of our clinical trials and other research activities. </w:t>
      </w:r>
    </w:p>
    <w:p>
      <w:pPr>
        <w:pStyle w:val="TextBody"/>
        <w:bidi w:val="0"/>
        <w:spacing w:before="360" w:after="0"/>
        <w:jc w:val="both"/>
        <w:rPr>
          <w:rFonts w:ascii="Times New Roman" w:hAnsi="Times New Roman"/>
          <w:b/>
          <w:i/>
          <w:sz w:val="20"/>
        </w:rPr>
      </w:pPr>
      <w:r>
        <w:rPr>
          <w:rFonts w:ascii="Times New Roman" w:hAnsi="Times New Roman"/>
          <w:b/>
          <w:i/>
          <w:sz w:val="20"/>
        </w:rPr>
        <w:t xml:space="preserve">Revenue Recognition </w:t>
      </w:r>
    </w:p>
    <w:p>
      <w:pPr>
        <w:pStyle w:val="TextBody"/>
        <w:bidi w:val="0"/>
        <w:spacing w:before="120" w:after="0"/>
        <w:jc w:val="both"/>
        <w:rPr>
          <w:rFonts w:ascii="Times New Roman" w:hAnsi="Times New Roman"/>
          <w:sz w:val="20"/>
        </w:rPr>
      </w:pPr>
      <w:r>
        <w:rPr>
          <w:rFonts w:ascii="Times New Roman" w:hAnsi="Times New Roman"/>
          <w:sz w:val="20"/>
        </w:rPr>
        <w:t xml:space="preserve">We generate revenue from a collaboration agreement that allows collaborators to develop, manufacture and commercialize product candidates. Collaboration revenue is recognized in accordance with ASC 606. Arrangements with collaborators may include intellectual property licenses, research and development services, and options to request us to perform additional research and development services. </w:t>
      </w:r>
    </w:p>
    <w:p>
      <w:pPr>
        <w:pStyle w:val="TextBody"/>
        <w:bidi w:val="0"/>
        <w:spacing w:before="240" w:after="0"/>
        <w:jc w:val="both"/>
        <w:rPr>
          <w:rFonts w:ascii="Times New Roman" w:hAnsi="Times New Roman"/>
          <w:sz w:val="20"/>
        </w:rPr>
      </w:pPr>
      <w:r>
        <w:rPr>
          <w:rFonts w:ascii="Times New Roman" w:hAnsi="Times New Roman"/>
          <w:sz w:val="20"/>
        </w:rPr>
        <w:t xml:space="preserve">We recognize collaboration revenue in an amount that reflects the consideration that we expect to receive in exchange for those goods or services when our collaborator, or customer, obtains control of promised goods or services. We follow a five-step approach: (i) identify the contract with a customer, (ii) identify the performance obligations in the contract, (iii) determine the transaction price, (iv) allocate the transaction price to the performance obligations, and (v) recognize revenue when (or as) the customer obtains control of the product or service. </w:t>
      </w:r>
    </w:p>
    <w:p>
      <w:pPr>
        <w:pStyle w:val="TextBody"/>
        <w:bidi w:val="0"/>
        <w:spacing w:before="240" w:after="0"/>
        <w:jc w:val="both"/>
        <w:rPr>
          <w:rFonts w:ascii="Times New Roman" w:hAnsi="Times New Roman"/>
          <w:sz w:val="20"/>
        </w:rPr>
      </w:pPr>
      <w:r>
        <w:rPr>
          <w:rFonts w:ascii="Times New Roman" w:hAnsi="Times New Roman"/>
          <w:sz w:val="20"/>
        </w:rPr>
        <w:t xml:space="preserve">At contract inception, once the contract is determined to be within the scope of ASC 606, we identify the goods or services promised and determine the performance obligations by assessing whether each promised good or service is distinct. Goods or services that are not distinct are bundled with other goods or services in the contract until a bundle of goods or services that is distinct is created. Arrangements that include rights to additional goods or services that are exercisable at a customer’s discretion are generally considered options. We assess if such options represent material rights, including if the price for the additional goods/services is at a significant and incremental discount to standalone selling price of such goods/services. We then recognize as revenue the amount of the transaction price that is allocated to the respective performance obligation when (or as) the performance obligation is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 transaction price is generally comprised of a fixed fee due at contract inception and at specified future dates, variable consideration in the form of milestone payments due upon the achievement of specified events and tiered royalties earned when the customer recognizes net sales of licensed products. We measure the transaction price based on the amount of consideration to which we expect to be entitled in exchange for transferring the promised goods and/or services to the customer. We utilize the “most likely amount” method to estimate the amount of variable consideration related to development and regulatory milestone payments. We evaluate whether the associated milestone event is considered most likely to be achieved and estimate the amount to be included in the transaction price. Amounts of variable consideration are included in the transaction price to the extent that it is probable that a significant reversal in the amount of cumulative revenue recognized will not occur when the uncertainty associated with the variable consideration is subsequently resolved. </w:t>
      </w:r>
    </w:p>
    <w:p>
      <w:pPr>
        <w:pStyle w:val="TextBody"/>
        <w:bidi w:val="0"/>
        <w:spacing w:before="240" w:after="0"/>
        <w:jc w:val="both"/>
        <w:rPr>
          <w:rFonts w:ascii="Times New Roman" w:hAnsi="Times New Roman"/>
          <w:sz w:val="20"/>
        </w:rPr>
      </w:pPr>
      <w:r>
        <w:rPr>
          <w:rFonts w:ascii="Times New Roman" w:hAnsi="Times New Roman"/>
          <w:sz w:val="20"/>
        </w:rPr>
        <w:t xml:space="preserve">If the license to our intellectual property is determined to be distinct from the other performance obligations identified in the arrangement, we recognize revenue when the license is transferred to the licensee and the licensee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The cumulative effect of changes to the estimated transaction price and estimated measure of progress to complete our performance obligation is recorded in the period in which changes are identified. </w:t>
      </w:r>
    </w:p>
    <w:p>
      <w:pPr>
        <w:pStyle w:val="TextBody"/>
        <w:bidi w:val="0"/>
        <w:spacing w:before="240" w:after="0"/>
        <w:jc w:val="both"/>
        <w:rPr>
          <w:rFonts w:ascii="Times New Roman" w:hAnsi="Times New Roman"/>
          <w:sz w:val="20"/>
        </w:rPr>
      </w:pPr>
      <w:r>
        <w:rPr>
          <w:rFonts w:ascii="Times New Roman" w:hAnsi="Times New Roman"/>
          <w:sz w:val="20"/>
        </w:rPr>
        <w:t xml:space="preserve">For arrangements that include sales-based royalties, including milestone payments based on the level of sales, and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w:t>
      </w:r>
    </w:p>
    <w:p>
      <w:pPr>
        <w:pStyle w:val="TextBody"/>
        <w:bidi w:val="0"/>
        <w:spacing w:before="360" w:after="0"/>
        <w:jc w:val="both"/>
        <w:rPr>
          <w:rFonts w:ascii="Times New Roman" w:hAnsi="Times New Roman"/>
          <w:b/>
          <w:i/>
          <w:sz w:val="20"/>
        </w:rPr>
      </w:pPr>
      <w:r>
        <w:rPr>
          <w:rFonts w:ascii="Times New Roman" w:hAnsi="Times New Roman"/>
          <w:b/>
          <w:i/>
          <w:sz w:val="20"/>
        </w:rPr>
        <w:t xml:space="preserve">Stock-Based Compensation Expense </w:t>
      </w:r>
    </w:p>
    <w:p>
      <w:pPr>
        <w:pStyle w:val="TextBody"/>
        <w:bidi w:val="0"/>
        <w:spacing w:before="120" w:after="0"/>
        <w:jc w:val="both"/>
        <w:rPr>
          <w:rFonts w:ascii="Times New Roman" w:hAnsi="Times New Roman"/>
          <w:sz w:val="20"/>
        </w:rPr>
      </w:pPr>
      <w:r>
        <w:rPr>
          <w:rFonts w:ascii="Times New Roman" w:hAnsi="Times New Roman"/>
          <w:sz w:val="20"/>
        </w:rPr>
        <w:t xml:space="preserve">Stock-based compensation expense related to the stock-based awards granted to employees, consultants and Board members is measured at the grant date based on the fair value of the award. Compensation expense for those awards is recognized over the requisite service period, which is generally the vesting period. We use the straight-line method to record the expense of awards with service-based vesting conditions. We account for forfeitures of stock-based awards as they occur rather than applying an estimated forfeiture rate to stock-based compensation expense. We have not issued awards for which vesting is subject to market or performance conditions. </w:t>
      </w:r>
    </w:p>
    <w:p>
      <w:pPr>
        <w:pStyle w:val="TextBody"/>
        <w:bidi w:val="0"/>
        <w:spacing w:before="240" w:after="0"/>
        <w:jc w:val="both"/>
        <w:rPr>
          <w:rFonts w:ascii="Times New Roman" w:hAnsi="Times New Roman"/>
          <w:sz w:val="20"/>
        </w:rPr>
      </w:pPr>
      <w:r>
        <w:rPr>
          <w:rFonts w:ascii="Times New Roman" w:hAnsi="Times New Roman"/>
          <w:sz w:val="20"/>
        </w:rPr>
        <w:t xml:space="preserve">We estimate the fair value of each restricted stock award (RSAs) based on the fair value of our common stock on the date of grant. We estimate the fair value of each stock option on the date of grant using the Black-Scholes option-pricing model. This model requires the use of highly subjective assumptions to determine the fair value of each stock-based award, including: </w:t>
      </w:r>
    </w:p>
    <w:p>
      <w:pPr>
        <w:pStyle w:val="TextBody"/>
        <w:bidi w:val="0"/>
        <w:spacing w:before="240" w:after="0"/>
        <w:jc w:val="both"/>
        <w:rPr>
          <w:rFonts w:ascii="Times New Roman" w:hAnsi="Times New Roman"/>
          <w:sz w:val="20"/>
        </w:rPr>
      </w:pPr>
      <w:r>
        <w:rPr>
          <w:rFonts w:ascii="Times New Roman" w:hAnsi="Times New Roman"/>
          <w:i/>
          <w:sz w:val="20"/>
        </w:rPr>
        <w:t>Fair value of common stock.</w:t>
      </w:r>
      <w:r>
        <w:rPr>
          <w:rFonts w:ascii="Times New Roman" w:hAnsi="Times New Roman"/>
          <w:sz w:val="20"/>
        </w:rPr>
        <w:t xml:space="preserve"> The fair value of our common stock is determined by our board of directors with input from management and third-party valuation specialists. Our approach to estimating the fair value of our common stock is consistent with the methods outlined in the American Institute of Certified Public Accountants’ Accounting and Valuation Guide, </w:t>
      </w:r>
      <w:r>
        <w:rPr>
          <w:rFonts w:ascii="Times New Roman" w:hAnsi="Times New Roman"/>
          <w:i/>
          <w:sz w:val="20"/>
        </w:rPr>
        <w:t>Valuation of Privately-Held-Company Equity Securities Issued</w:t>
      </w:r>
      <w:r>
        <w:rPr>
          <w:rFonts w:ascii="Times New Roman" w:hAnsi="Times New Roman"/>
          <w:sz w:val="20"/>
        </w:rPr>
        <w:t xml:space="preserve"> </w:t>
      </w:r>
      <w:r>
        <w:rPr>
          <w:rFonts w:ascii="Times New Roman" w:hAnsi="Times New Roman"/>
          <w:i/>
          <w:sz w:val="20"/>
        </w:rPr>
        <w:t xml:space="preserve">as Compensation </w:t>
      </w:r>
      <w:r>
        <w:rPr>
          <w:rFonts w:ascii="Times New Roman" w:hAnsi="Times New Roman"/>
          <w:sz w:val="20"/>
        </w:rPr>
        <w:t xml:space="preserve">(the Practice Aid). Determining the best estimated fair value of our common stock requires significant judgment and we consider several factors, including our stage of development, equity market conditions affecting comparable public companies, significant milestones and progress of research and development efforts. See also the subsection titled “—Determination of Fair Value of Common Stock” below. </w:t>
      </w:r>
    </w:p>
    <w:p>
      <w:pPr>
        <w:pStyle w:val="TextBody"/>
        <w:bidi w:val="0"/>
        <w:spacing w:before="240" w:after="0"/>
        <w:jc w:val="both"/>
        <w:rPr>
          <w:rFonts w:ascii="Times New Roman" w:hAnsi="Times New Roman"/>
          <w:sz w:val="20"/>
        </w:rPr>
      </w:pPr>
      <w:r>
        <w:rPr>
          <w:rFonts w:ascii="Times New Roman" w:hAnsi="Times New Roman"/>
          <w:i/>
          <w:sz w:val="20"/>
        </w:rPr>
        <w:t>Expected term.</w:t>
      </w:r>
      <w:r>
        <w:rPr>
          <w:rFonts w:ascii="Times New Roman" w:hAnsi="Times New Roman"/>
          <w:sz w:val="20"/>
        </w:rPr>
        <w:t xml:space="preserve"> The expected term represents the weighted-average period the stock options are expected to remain outstanding and is based on the options’ vesting terms and contractual terms as we do not have sufficient historical information to develop reasonable expectations about future exercise patterns and post-vesting employment termination behavior.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i/>
          <w:sz w:val="20"/>
        </w:rPr>
        <w:t>Expected volatility.</w:t>
      </w:r>
      <w:r>
        <w:rPr>
          <w:rFonts w:ascii="Times New Roman" w:hAnsi="Times New Roman"/>
          <w:sz w:val="20"/>
        </w:rPr>
        <w:t xml:space="preserve"> The expected stock price volatility assumption was determined by examining the historical volatilities for industry peers, as we did not have any trading history for our common stock. We will continue to analyze the historical stock price volatility and expected term assumption as more historical data for our common stock becomes available. </w:t>
      </w:r>
    </w:p>
    <w:p>
      <w:pPr>
        <w:pStyle w:val="TextBody"/>
        <w:bidi w:val="0"/>
        <w:spacing w:before="240" w:after="0"/>
        <w:jc w:val="both"/>
        <w:rPr>
          <w:rFonts w:ascii="Times New Roman" w:hAnsi="Times New Roman"/>
          <w:sz w:val="20"/>
        </w:rPr>
      </w:pPr>
      <w:r>
        <w:rPr>
          <w:rFonts w:ascii="Times New Roman" w:hAnsi="Times New Roman"/>
          <w:i/>
          <w:sz w:val="20"/>
        </w:rPr>
        <w:t>Risk-free interest rate.</w:t>
      </w:r>
      <w:r>
        <w:rPr>
          <w:rFonts w:ascii="Times New Roman" w:hAnsi="Times New Roman"/>
          <w:sz w:val="20"/>
        </w:rPr>
        <w:t xml:space="preserve"> The risk-free interest rate is based on the U.S. Treasury yield in effect at the time of grant for zero-coupon U.S. Treasury notes with maturities approximately equal to the expected term of the awards. </w:t>
      </w:r>
    </w:p>
    <w:p>
      <w:pPr>
        <w:pStyle w:val="TextBody"/>
        <w:bidi w:val="0"/>
        <w:spacing w:before="240" w:after="0"/>
        <w:jc w:val="both"/>
        <w:rPr>
          <w:rFonts w:ascii="Times New Roman" w:hAnsi="Times New Roman"/>
          <w:sz w:val="20"/>
        </w:rPr>
      </w:pPr>
      <w:r>
        <w:rPr>
          <w:rFonts w:ascii="Times New Roman" w:hAnsi="Times New Roman"/>
          <w:i/>
          <w:sz w:val="20"/>
        </w:rPr>
        <w:t>Expected dividend yield.</w:t>
      </w:r>
      <w:r>
        <w:rPr>
          <w:rFonts w:ascii="Times New Roman" w:hAnsi="Times New Roman"/>
          <w:sz w:val="20"/>
        </w:rPr>
        <w:t xml:space="preserve"> We have never paid dividends on our common stock and have no plans to pay dividends on our common stock. Therefore, we used an expected dividend yield of zero. </w:t>
      </w:r>
    </w:p>
    <w:p>
      <w:pPr>
        <w:pStyle w:val="TextBody"/>
        <w:bidi w:val="0"/>
        <w:spacing w:before="240" w:after="0"/>
        <w:jc w:val="both"/>
        <w:rPr>
          <w:rFonts w:ascii="Times New Roman" w:hAnsi="Times New Roman"/>
          <w:sz w:val="20"/>
        </w:rPr>
      </w:pPr>
      <w:r>
        <w:rPr>
          <w:rFonts w:ascii="Times New Roman" w:hAnsi="Times New Roman"/>
          <w:sz w:val="20"/>
        </w:rPr>
        <w:t xml:space="preserve">See Note 10 to our audited consolidated financial statements and Note 10 to our unaudited interim condensed consolidated financial statements included elsewhere in this prospectus for information concerning certain of the specific assumptions we used in applying the Black-Scholes Option Pricing Model (OPM) and Probability-Weighted Expected Return Method (PWERM) to determine the estimated fair value of our stock options granted in the periods presented. </w:t>
      </w:r>
    </w:p>
    <w:p>
      <w:pPr>
        <w:pStyle w:val="TextBody"/>
        <w:bidi w:val="0"/>
        <w:spacing w:before="240" w:after="0"/>
        <w:jc w:val="both"/>
        <w:rPr>
          <w:rFonts w:ascii="Times New Roman" w:hAnsi="Times New Roman"/>
          <w:sz w:val="20"/>
        </w:rPr>
      </w:pPr>
      <w:r>
        <w:rPr>
          <w:rFonts w:ascii="Times New Roman" w:hAnsi="Times New Roman"/>
          <w:sz w:val="20"/>
        </w:rPr>
        <w:t xml:space="preserve">As of March 31, 2026, there was $5.3 million of total unrecognized stock-based compensation expense related to unvested stock options, which we expect to recognize over a remaining weighted-average period of 2.6 years. As of March 31, 2026, there was $0.7 million of total unrecognized stock-based compensation expense related to unvested restricted stock awards, which we expect to recognize over a remaining weighted-average period of 1.1 years. We expect to continue to grant equity-based awards in the future, and to the extent that we do, our stock-based compensation expense recognized in future periods will likely increase. </w:t>
      </w:r>
    </w:p>
    <w:p>
      <w:pPr>
        <w:pStyle w:val="TextBody"/>
        <w:bidi w:val="0"/>
        <w:spacing w:before="240" w:after="0"/>
        <w:jc w:val="both"/>
        <w:rPr>
          <w:rFonts w:ascii="Times New Roman" w:hAnsi="Times New Roman"/>
          <w:sz w:val="20"/>
        </w:rPr>
      </w:pPr>
      <w:r>
        <w:rPr>
          <w:rFonts w:ascii="Times New Roman" w:hAnsi="Times New Roman"/>
          <w:sz w:val="20"/>
        </w:rPr>
        <w:t xml:space="preserve">The intrinsic value of all outstanding stock options and RSAs as of March 31, 2026 was approximately $39.7 million, based on the expected initial public offering price of $17.00 per share, of which approximately $9.9 million related to vested stock options, and approximately $29.8 million related to unvested stock options and RSAs.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Determination of Fair Value of Common Stock </w:t>
      </w:r>
    </w:p>
    <w:p>
      <w:pPr>
        <w:pStyle w:val="TextBody"/>
        <w:bidi w:val="0"/>
        <w:spacing w:before="120" w:after="0"/>
        <w:jc w:val="both"/>
        <w:rPr>
          <w:rFonts w:ascii="Times New Roman" w:hAnsi="Times New Roman"/>
          <w:sz w:val="20"/>
        </w:rPr>
      </w:pPr>
      <w:r>
        <w:rPr>
          <w:rFonts w:ascii="Times New Roman" w:hAnsi="Times New Roman"/>
          <w:sz w:val="20"/>
        </w:rPr>
        <w:t xml:space="preserve">As there has been no public market for our common stock prior to this offering, the estimated fair value of our common stock underlying our stock-based awards has been determined by our board of directors as of each option grant date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Practice Aid. </w:t>
      </w:r>
    </w:p>
    <w:p>
      <w:pPr>
        <w:pStyle w:val="TextBody"/>
        <w:bidi w:val="0"/>
        <w:spacing w:before="240" w:after="0"/>
        <w:jc w:val="both"/>
        <w:rPr>
          <w:rFonts w:ascii="Times New Roman" w:hAnsi="Times New Roman"/>
          <w:sz w:val="20"/>
        </w:rPr>
      </w:pPr>
      <w:r>
        <w:rPr>
          <w:rFonts w:ascii="Times New Roman" w:hAnsi="Times New Roman"/>
          <w:sz w:val="20"/>
        </w:rPr>
        <w:t xml:space="preserve">The methodology to determine the fair value of our common stock included estimating the fair value of the enterprise using a market approach, specifically the recent transaction method, which uses one or more recent negotiated, arms-length transactions to determine the overall value of a company’s equity. The Practice Aid identifies various available methods for allocating enterprise value across classes and series of capital stock to determine the estimated fair value of common stock at each valuation date. </w:t>
      </w:r>
    </w:p>
    <w:p>
      <w:pPr>
        <w:pStyle w:val="TextBody"/>
        <w:bidi w:val="0"/>
        <w:spacing w:before="240" w:after="0"/>
        <w:jc w:val="both"/>
        <w:rPr>
          <w:rFonts w:ascii="Times New Roman" w:hAnsi="Times New Roman"/>
          <w:sz w:val="20"/>
        </w:rPr>
      </w:pPr>
      <w:r>
        <w:rPr>
          <w:rFonts w:ascii="Times New Roman" w:hAnsi="Times New Roman"/>
          <w:sz w:val="20"/>
        </w:rPr>
        <w:t xml:space="preserve">In accordance with the Practice Aid, we used the Option Pricing Method (OPM). Under the OPM, shares are valued by creating a series of call options with exercise prices based on the liquidation preferences and conversion terms of each equity class. The estimated fair values of the redeemable convertible preferred stock and common stock are inferred by analyzing these options. This method is appropriate to use when the range of possible future outcomes is so difficult to predict that estimates would be highly speculative, and dissolution or liquidation is not imminent.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Based on our early stage of development and other relevant factors, we determined that an OPM, primarily the OPM backsolve methodology, was the most appropriate method for allocating the enterprise value to determine the estimated fair value of our common stock for valuations performed from our inception through the end of 2024. Within the OPM framework, the backsolve method was used to infer the total equity value implied by a recent financing transaction or by an estimated equity value of our pipeline product candidates. The backsolve method involves the construction of an allocation model that takes into account our capital structure and the rights, preferences and privileges of each class of stock, and also assumes reasonable inputs for the other OPM variables, including expected time to liquidity, volatility, and risk-free rate. The total equity value is then iterated in the model until the model output value for the equity class sold in a recent financing round equals the price paid in that round. The OPM is generally utilized when specific future liquidity events are difficult to forecast (i.e., the enterprise has many choices and options available), and the enterprise’s value depends on how well it follows an uncharted path through the various possible opportunities and challenges. In determining the estimated fair value of the common stock, our board of directors also considered the fact that the stockholders could not freely trade the common stock in the public markets. Accordingly, we applied discounts to reflect the lack of marketability of our common stock based on the weighted-average expected time to liquidity. The estimated fair value of the common stock at each grant date reflected a non-marketability discount partially based on the anticipated likelihood and timing of a future liquidity event. </w:t>
      </w:r>
    </w:p>
    <w:p>
      <w:pPr>
        <w:pStyle w:val="TextBody"/>
        <w:bidi w:val="0"/>
        <w:spacing w:before="240" w:after="0"/>
        <w:jc w:val="both"/>
        <w:rPr>
          <w:rFonts w:ascii="Times New Roman" w:hAnsi="Times New Roman"/>
          <w:sz w:val="20"/>
        </w:rPr>
      </w:pPr>
      <w:r>
        <w:rPr>
          <w:rFonts w:ascii="Times New Roman" w:hAnsi="Times New Roman"/>
          <w:sz w:val="20"/>
        </w:rPr>
        <w:t xml:space="preserve">For valuations beginning in March 2025, we began using a hybrid method that combines the PWERM, an accepted valuation method described in the Practice Aid and the OPM. The PWERM contemplated a scenario in which we remained private with an uncertain future exit and scenario(s) in which we exited via initial public offering (“IPO”). For the scenario in which we remained private, we utilized the OPM as discussed above. For the scenario(s) in which we exited via IPO, we utilized an analysis based on observed step-up multiples achieved at IPO for comparable public issuers in which we applied a step-up multiple believed to be achievable at IPO to the post-money valuation achieved by us in our most recent (or expected future cross-over) financing round. The resulting total equity value for us estimated for a scenario(s) in which we exited via IPO was then allocated to our share classes using a waterfall allocation analysis that treats all preferred securities as immediately converting to common stock at the time of an IPO event. In determining the estimated fair value of the common stock, our board of directors also considered the fact that the stockholders could not freely trade the common stock in the public markets. Accordingly, we applied discounts to reflect the lack of marketability of our common stock based on the weighted-average expected time to liquidity in each of the contemplated exit scenarios. The estimated fair value of the common stock at each grant date reflected a non-marketability discount partially based on the anticipated likelihood and timing of a future liquidity event. </w:t>
      </w:r>
    </w:p>
    <w:p>
      <w:pPr>
        <w:pStyle w:val="TextBody"/>
        <w:bidi w:val="0"/>
        <w:spacing w:before="240" w:after="0"/>
        <w:jc w:val="both"/>
        <w:rPr>
          <w:rFonts w:ascii="Times New Roman" w:hAnsi="Times New Roman"/>
          <w:sz w:val="20"/>
        </w:rPr>
      </w:pPr>
      <w:r>
        <w:rPr>
          <w:rFonts w:ascii="Times New Roman" w:hAnsi="Times New Roman"/>
          <w:sz w:val="20"/>
        </w:rPr>
        <w:t xml:space="preserve">In addition to considering the results of independent third-party valuations, our board of directors considered various objective and subjective factors to determine the fair value of common stock as of each grant date,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prices at which we sold shares of our preferred stock and the superior rights, preferences and privileges of our preferred stock relative to those of our common stock at the time of each grant;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progress of our research and development programs, including the status of preclinical studies and clinical trials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stage of development and our business strategy, and material risks related to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external market conditions affecting the biotechnology industry and trends within the biotechnology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competitive landscape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financial position, including cash on hand, and our historical and forecasted performance and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lack of an active public market for our common stock and our redeemable convertible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likelihood of achieving a liquidity event, such as an initial public offering or a sale of our company, given prevailing market conditions;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economy in general.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assumptions underlying these valuations represented management’s best estimate, which involved inherent uncertainties and the application of management’s judgment. As a result, if we had used significantly different assumptions or estimates, the fair value of our common stock and our stock-based compensation expense could be materially different. </w:t>
      </w:r>
    </w:p>
    <w:p>
      <w:pPr>
        <w:pStyle w:val="TextBody"/>
        <w:bidi w:val="0"/>
        <w:spacing w:before="240" w:after="0"/>
        <w:jc w:val="both"/>
        <w:rPr>
          <w:rFonts w:ascii="Times New Roman" w:hAnsi="Times New Roman"/>
          <w:sz w:val="20"/>
        </w:rPr>
      </w:pPr>
      <w:r>
        <w:rPr>
          <w:rFonts w:ascii="Times New Roman" w:hAnsi="Times New Roman"/>
          <w:sz w:val="20"/>
        </w:rPr>
        <w:t xml:space="preserve">Once a public trading market for our common stock has been established in connection with the completion of this offering, it will no longer be necessary for our board of directors to estimate the fair value of our common stock in connection with our accounting for granted stock options and other such awards we may grant, as the fair value of our common stock will be based on the quoted market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Preferred Stock Tranche Liabilities </w:t>
      </w:r>
    </w:p>
    <w:p>
      <w:pPr>
        <w:pStyle w:val="TextBody"/>
        <w:bidi w:val="0"/>
        <w:spacing w:before="120" w:after="0"/>
        <w:jc w:val="both"/>
        <w:rPr>
          <w:rFonts w:ascii="Times New Roman" w:hAnsi="Times New Roman"/>
          <w:sz w:val="20"/>
        </w:rPr>
      </w:pPr>
      <w:r>
        <w:rPr>
          <w:rFonts w:ascii="Times New Roman" w:hAnsi="Times New Roman"/>
          <w:sz w:val="20"/>
        </w:rPr>
        <w:t xml:space="preserve">We determined that the contingent rights and obligations to issue shares of Series A-2 redeemable convertible preferred stock and Series B redeemable convertible preferred stock upon the achievement of certain milestones represented freestanding instruments. These instruments, referred to as the Series A redeemable convertible preferred stock tranche liability and Series B redeemable convertible preferred stock tranche liability, respectively, should be accounted for as an asset or liability, initially recorded and subsequently remeasured at fair value until their exercise or expiration. </w:t>
      </w:r>
    </w:p>
    <w:p>
      <w:pPr>
        <w:pStyle w:val="TextBody"/>
        <w:bidi w:val="0"/>
        <w:spacing w:before="240" w:after="0"/>
        <w:jc w:val="both"/>
        <w:rPr>
          <w:rFonts w:ascii="Times New Roman" w:hAnsi="Times New Roman"/>
          <w:sz w:val="20"/>
        </w:rPr>
      </w:pPr>
      <w:r>
        <w:rPr>
          <w:rFonts w:ascii="Times New Roman" w:hAnsi="Times New Roman"/>
          <w:sz w:val="20"/>
        </w:rPr>
        <w:t xml:space="preserve">We valued the preferred stock tranche liabilities as contingent forward contracts. The values were determined using a probability-weighted present valuation calculation. In determining the fair value of the preferred stock tranche liabilities, estimates and assumptions impacting fair value included (i) the estimated future values of the respective redeemable convertible preferred stock, (ii) discount rates, (iii) the estimated time to liquidity and probability of the tranche closing, and (iv) the expected term of the forward. We determined the per share future value of the Series A-2 redeemable convertible preferred stock and Series B redeemable convertible preferred stock by back-solving to the initial proceeds of the Series A-2 redeemable convertible preferred stock and Series B redeemable convertible preferred stock financings, respectively. We remeasured the Series A redeemable convertible preferred stock tranche liability and Series B redeemable convertible preferred stock tranche liability at each reporting period. </w:t>
      </w:r>
    </w:p>
    <w:p>
      <w:pPr>
        <w:pStyle w:val="TextBody"/>
        <w:bidi w:val="0"/>
        <w:spacing w:before="240" w:after="0"/>
        <w:jc w:val="both"/>
        <w:rPr>
          <w:rFonts w:ascii="Times New Roman" w:hAnsi="Times New Roman"/>
          <w:sz w:val="20"/>
        </w:rPr>
      </w:pPr>
      <w:r>
        <w:rPr>
          <w:rFonts w:ascii="Times New Roman" w:hAnsi="Times New Roman"/>
          <w:sz w:val="20"/>
        </w:rPr>
        <w:t xml:space="preserve">The Series A redeemable convertible preferred stock tranche was exercised in January 2024, upon the occurrence of the Series A milestone closing. In January 2025, upon the achievement of the Series B milestone, the Series B Milestone Closing was completed, and the associated Series B preferred stock tranche liability was settled. The fair value of the Series B redeemable convertible preferred stock was $1.55 per share and represented the only input used in determining the fair value of the Series B preferred stock tranche liability upon the Series B Milestone Closing. </w:t>
      </w:r>
    </w:p>
    <w:p>
      <w:pPr>
        <w:pStyle w:val="TextBody"/>
        <w:bidi w:val="0"/>
        <w:spacing w:before="240" w:after="0"/>
        <w:jc w:val="both"/>
        <w:rPr>
          <w:rFonts w:ascii="Times New Roman" w:hAnsi="Times New Roman"/>
          <w:sz w:val="20"/>
        </w:rPr>
      </w:pPr>
      <w:r>
        <w:rPr>
          <w:rFonts w:ascii="Times New Roman" w:hAnsi="Times New Roman"/>
          <w:sz w:val="20"/>
        </w:rPr>
        <w:t xml:space="preserve">The Series B redeemable convertible preferred stock tranche liability was valued using the following assumptions: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62"/>
        <w:gridCol w:w="795"/>
        <w:gridCol w:w="151"/>
        <w:gridCol w:w="1118"/>
        <w:gridCol w:w="275"/>
        <w:gridCol w:w="738"/>
        <w:gridCol w:w="234"/>
        <w:gridCol w:w="1754"/>
        <w:gridCol w:w="278"/>
      </w:tblGrid>
      <w:tr>
        <w:trPr/>
        <w:tc>
          <w:tcPr>
            <w:tcW w:w="4862" w:type="dxa"/>
            <w:tcBorders/>
            <w:vAlign w:val="center"/>
          </w:tcPr>
          <w:p>
            <w:pPr>
              <w:pStyle w:val="TableContents"/>
              <w:bidi w:val="0"/>
              <w:spacing w:before="0" w:after="283"/>
              <w:jc w:val="left"/>
              <w:rPr>
                <w:sz w:val="4"/>
                <w:szCs w:val="4"/>
              </w:rPr>
            </w:pPr>
            <w:r>
              <w:rPr>
                <w:sz w:val="4"/>
                <w:szCs w:val="4"/>
              </w:rPr>
            </w:r>
          </w:p>
        </w:tc>
        <w:tc>
          <w:tcPr>
            <w:tcW w:w="795"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38"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4862"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left"/>
              <w:rPr/>
            </w:pPr>
            <w:r>
              <w:rPr/>
              <w:t>  </w:t>
            </w:r>
          </w:p>
        </w:tc>
        <w:tc>
          <w:tcPr>
            <w:tcW w:w="12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May 1, 2024</w:t>
            </w:r>
          </w:p>
        </w:tc>
        <w:tc>
          <w:tcPr>
            <w:tcW w:w="275"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left"/>
              <w:rPr/>
            </w:pPr>
            <w:r>
              <w:rPr/>
              <w:t> </w:t>
            </w:r>
          </w:p>
        </w:tc>
        <w:tc>
          <w:tcPr>
            <w:tcW w:w="19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278" w:type="dxa"/>
            <w:tcBorders/>
            <w:vAlign w:val="bottom"/>
          </w:tcPr>
          <w:p>
            <w:pPr>
              <w:pStyle w:val="TableContents"/>
              <w:bidi w:val="0"/>
              <w:spacing w:before="0" w:after="283"/>
              <w:jc w:val="left"/>
              <w:rPr/>
            </w:pPr>
            <w:r>
              <w:rPr/>
              <w:t> </w:t>
            </w:r>
          </w:p>
        </w:tc>
      </w:tr>
      <w:tr>
        <w:trPr/>
        <w:tc>
          <w:tcPr>
            <w:tcW w:w="48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Discount rate</w:t>
            </w:r>
          </w:p>
        </w:tc>
        <w:tc>
          <w:tcPr>
            <w:tcW w:w="79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5.40</w:t>
            </w:r>
          </w:p>
        </w:tc>
        <w:tc>
          <w:tcPr>
            <w:tcW w:w="275"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754" w:type="dxa"/>
            <w:tcBorders/>
            <w:shd w:fill="CCEEFF" w:val="clear"/>
            <w:vAlign w:val="bottom"/>
          </w:tcPr>
          <w:p>
            <w:pPr>
              <w:pStyle w:val="TableContents"/>
              <w:bidi w:val="0"/>
              <w:spacing w:before="0" w:after="283"/>
              <w:jc w:val="right"/>
              <w:rPr/>
            </w:pPr>
            <w:r>
              <w:rPr/>
              <w:t>4.40</w:t>
            </w:r>
          </w:p>
        </w:tc>
        <w:tc>
          <w:tcPr>
            <w:tcW w:w="278" w:type="dxa"/>
            <w:tcBorders/>
            <w:shd w:fill="CCEEFF" w:val="clear"/>
            <w:vAlign w:val="bottom"/>
          </w:tcPr>
          <w:p>
            <w:pPr>
              <w:pStyle w:val="TableContents"/>
              <w:bidi w:val="0"/>
              <w:spacing w:before="0" w:after="283"/>
              <w:jc w:val="left"/>
              <w:rPr/>
            </w:pPr>
            <w:r>
              <w:rPr/>
              <w:t>% </w:t>
            </w:r>
          </w:p>
        </w:tc>
      </w:tr>
      <w:tr>
        <w:trPr/>
        <w:tc>
          <w:tcPr>
            <w:tcW w:w="4862" w:type="dxa"/>
            <w:tcBorders/>
          </w:tcPr>
          <w:p>
            <w:pPr>
              <w:pStyle w:val="TableContents"/>
              <w:bidi w:val="0"/>
              <w:spacing w:before="0" w:after="0"/>
              <w:jc w:val="left"/>
              <w:rPr>
                <w:rFonts w:ascii="Times New Roman" w:hAnsi="Times New Roman"/>
                <w:sz w:val="20"/>
              </w:rPr>
            </w:pPr>
            <w:r>
              <w:rPr>
                <w:rFonts w:ascii="Times New Roman" w:hAnsi="Times New Roman"/>
                <w:sz w:val="20"/>
              </w:rPr>
              <w:t>Term of forward (years)</w:t>
            </w:r>
          </w:p>
        </w:tc>
        <w:tc>
          <w:tcPr>
            <w:tcW w:w="79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0.67</w:t>
            </w:r>
          </w:p>
        </w:tc>
        <w:tc>
          <w:tcPr>
            <w:tcW w:w="275"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754" w:type="dxa"/>
            <w:tcBorders/>
            <w:vAlign w:val="bottom"/>
          </w:tcPr>
          <w:p>
            <w:pPr>
              <w:pStyle w:val="TableContents"/>
              <w:bidi w:val="0"/>
              <w:spacing w:before="0" w:after="283"/>
              <w:jc w:val="right"/>
              <w:rPr/>
            </w:pPr>
            <w:r>
              <w:rPr/>
              <w:t>0.04</w:t>
            </w:r>
          </w:p>
        </w:tc>
        <w:tc>
          <w:tcPr>
            <w:tcW w:w="278" w:type="dxa"/>
            <w:tcBorders/>
            <w:vAlign w:val="bottom"/>
          </w:tcPr>
          <w:p>
            <w:pPr>
              <w:pStyle w:val="TableContents"/>
              <w:bidi w:val="0"/>
              <w:spacing w:before="0" w:after="283"/>
              <w:jc w:val="left"/>
              <w:rPr/>
            </w:pPr>
            <w:r>
              <w:rPr/>
              <w:t> </w:t>
            </w:r>
          </w:p>
        </w:tc>
      </w:tr>
      <w:tr>
        <w:trPr/>
        <w:tc>
          <w:tcPr>
            <w:tcW w:w="486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Probability of tranche closing</w:t>
            </w:r>
          </w:p>
        </w:tc>
        <w:tc>
          <w:tcPr>
            <w:tcW w:w="79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75.0</w:t>
            </w:r>
          </w:p>
        </w:tc>
        <w:tc>
          <w:tcPr>
            <w:tcW w:w="275"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754" w:type="dxa"/>
            <w:tcBorders/>
            <w:shd w:fill="CCEEFF" w:val="clear"/>
            <w:vAlign w:val="bottom"/>
          </w:tcPr>
          <w:p>
            <w:pPr>
              <w:pStyle w:val="TableContents"/>
              <w:bidi w:val="0"/>
              <w:spacing w:before="0" w:after="283"/>
              <w:jc w:val="right"/>
              <w:rPr/>
            </w:pPr>
            <w:r>
              <w:rPr/>
              <w:t>97.5</w:t>
            </w:r>
          </w:p>
        </w:tc>
        <w:tc>
          <w:tcPr>
            <w:tcW w:w="27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Series B redeemable convertible preferred stock tranche liability was initially recorded as a liability at $5.0 million in May 2024. We recognized changes in fair value of approximately $1.7 million as loss from the remeasurement of the Series B redeemable convertible preferred stock tranche liability in our consolidated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statement of operations and comprehensive loss during the year ended December 31, 2024. As of December 31, 2024, the fair value of the Series B redeemable convertible preferred stock tranche liability was $6.6 million in our consolidated balance sheet. The Series B redeemable convertible preferred stock tranche was exercised in January 2025, upon the occurrence of the Series B redeemable convertible preferred stock milestone closing. We remeasured the Series B preferred stock tranche liability in January 2025 immediately prior to its settlement and determined that the fair value of the liability was $6.8 million, and therefore recorded an approximately $0.2 million loss in our consolidated statement of operations and comprehensive loss during the year ended December 31, 2025 and in our unaudited interim condensed consolidated financial statement of operations and comprehensive loss during the three months ended March 31, 2025. </w:t>
      </w:r>
    </w:p>
    <w:p>
      <w:pPr>
        <w:pStyle w:val="TextBody"/>
        <w:bidi w:val="0"/>
        <w:spacing w:before="360" w:after="0"/>
        <w:jc w:val="left"/>
        <w:rPr>
          <w:rFonts w:ascii="Times New Roman" w:hAnsi="Times New Roman"/>
          <w:b/>
          <w:sz w:val="20"/>
        </w:rPr>
      </w:pPr>
      <w:r>
        <w:rPr>
          <w:rFonts w:ascii="Times New Roman" w:hAnsi="Times New Roman"/>
          <w:b/>
          <w:sz w:val="20"/>
        </w:rPr>
        <w:t xml:space="preserve">Recently Issued Accounting Pronouncements </w:t>
      </w:r>
    </w:p>
    <w:p>
      <w:pPr>
        <w:pStyle w:val="TextBody"/>
        <w:bidi w:val="0"/>
        <w:spacing w:before="120" w:after="0"/>
        <w:jc w:val="both"/>
        <w:rPr>
          <w:rFonts w:ascii="Times New Roman" w:hAnsi="Times New Roman"/>
          <w:sz w:val="20"/>
        </w:rPr>
      </w:pPr>
      <w:r>
        <w:rPr>
          <w:rFonts w:ascii="Times New Roman" w:hAnsi="Times New Roman"/>
          <w:sz w:val="20"/>
        </w:rPr>
        <w:t xml:space="preserve">A description of recently issued accounting pronouncements that may potentially impact our financial position, results of operations or cash flows is disclosed in Note 2 to our audited consolidated financial statements included elsewhere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Market Risks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Interest Rate Risk </w:t>
      </w:r>
    </w:p>
    <w:p>
      <w:pPr>
        <w:pStyle w:val="TextBody"/>
        <w:bidi w:val="0"/>
        <w:spacing w:before="120" w:after="0"/>
        <w:jc w:val="both"/>
        <w:rPr>
          <w:rFonts w:ascii="Times New Roman" w:hAnsi="Times New Roman"/>
          <w:sz w:val="20"/>
        </w:rPr>
      </w:pPr>
      <w:r>
        <w:rPr>
          <w:rFonts w:ascii="Times New Roman" w:hAnsi="Times New Roman"/>
          <w:sz w:val="20"/>
        </w:rPr>
        <w:t xml:space="preserve">The primary objectives of our investment activities are to ensure liquidity and to preserve capital. We are exposed to market risks related to changes in interest rates of our cash equivalents and marketable securities. However, due to the nature of these cash equivalents and marketable securities, we do not believe that a hypothetical 10% increase or decrease in interest rates during any of the periods presented would have had a material effect on our consolidated financial statements included elsewhere in this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Currency Risk </w:t>
      </w:r>
    </w:p>
    <w:p>
      <w:pPr>
        <w:pStyle w:val="TextBody"/>
        <w:bidi w:val="0"/>
        <w:spacing w:before="120" w:after="0"/>
        <w:jc w:val="both"/>
        <w:rPr>
          <w:rFonts w:ascii="Times New Roman" w:hAnsi="Times New Roman"/>
          <w:sz w:val="20"/>
        </w:rPr>
      </w:pPr>
      <w:r>
        <w:rPr>
          <w:rFonts w:ascii="Times New Roman" w:hAnsi="Times New Roman"/>
          <w:sz w:val="20"/>
        </w:rPr>
        <w:t xml:space="preserve">Our business is primarily conducted in U.S. dollars. Transactions conducted in foreign currencies have not had, and are not expected to have, a material effect on our results of operations, financial position or cash flows. Our operating expenses in countries outside the United States are payable in foreign currencies and therefore expose us to currency risk. We do not believe that a hypothetical 10% increase or decrease in the relative value of the U.S. dollar to other currencies would have had a material effect on our consolidated financial statements included elsewhere in this prospectus. We do not currently maintain a program to hedge exposures to non-U.S. dollar currencies.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Effects of Inflation </w:t>
      </w:r>
    </w:p>
    <w:p>
      <w:pPr>
        <w:pStyle w:val="TextBody"/>
        <w:bidi w:val="0"/>
        <w:spacing w:before="120" w:after="0"/>
        <w:jc w:val="both"/>
        <w:rPr>
          <w:rFonts w:ascii="Times New Roman" w:hAnsi="Times New Roman"/>
          <w:sz w:val="20"/>
        </w:rPr>
      </w:pPr>
      <w:r>
        <w:rPr>
          <w:rFonts w:ascii="Times New Roman" w:hAnsi="Times New Roman"/>
          <w:sz w:val="20"/>
        </w:rPr>
        <w:t xml:space="preserve">Inflation generally affects us by increasing our cost of labor and research and development costs. We do not believe that inflation had a material effect on our business, results of operations, or financial condition, or on our consolidated financial statements included elsewhere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JOBS Act Transition Period and Emerging Growth Company and Smaller Reporting Company Status </w:t>
      </w:r>
    </w:p>
    <w:p>
      <w:pPr>
        <w:pStyle w:val="TextBody"/>
        <w:bidi w:val="0"/>
        <w:spacing w:before="120" w:after="0"/>
        <w:jc w:val="both"/>
        <w:rPr>
          <w:rFonts w:ascii="Times New Roman" w:hAnsi="Times New Roman"/>
          <w:sz w:val="20"/>
        </w:rPr>
      </w:pPr>
      <w:r>
        <w:rPr>
          <w:rFonts w:ascii="Times New Roman" w:hAnsi="Times New Roman"/>
          <w:sz w:val="20"/>
        </w:rPr>
        <w:t xml:space="preserve">We are an emerging growth company (EGC). The JOBS Act permits companies with EGC status to take advantage of an extended transition period to comply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EGC or (ii) affirmatively and irrevocably opt out of the extended transition period provided in the JOBS Act. As a result, our consolidated financial statements may not be comparable to companies that comply with the new or revised accounting standards as of public company effective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In addition, we intend to rely on the other exemptions and reduced reporting requirements provided by the JOBS Act. Subject to certain conditions set forth in the JOBS Act, if, as an EGC, we intend to rely on such exemptions, we are not required to, among other things: (i) provide an auditor’s attestation report on our system of internal controls over financial reporting pursuant to Section 404(b) of the Sarbanes-Oxley Act of 2002, as amended; (ii) provide all of the compensation disclosure that may be required of non-EGCs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and (iv) disclose certain executive compensation related items such as the correlation between executive compensation and performance and comparisons of the chief executive officer’s compensation to median employee compensation. </w:t>
      </w:r>
    </w:p>
    <w:p>
      <w:pPr>
        <w:pStyle w:val="TextBody"/>
        <w:bidi w:val="0"/>
        <w:spacing w:before="240" w:after="0"/>
        <w:jc w:val="both"/>
        <w:rPr>
          <w:rFonts w:ascii="Times New Roman" w:hAnsi="Times New Roman"/>
          <w:sz w:val="20"/>
        </w:rPr>
      </w:pPr>
      <w:r>
        <w:rPr>
          <w:rFonts w:ascii="Times New Roman" w:hAnsi="Times New Roman"/>
          <w:sz w:val="20"/>
        </w:rPr>
        <w:t xml:space="preserve">We will remain an EGC under the JOBS Act until the earliest of (i) the last date of our fiscal year in which we have total annual gross revenue of at least $1.235 billion, (ii) the date we qualify as a “large accelerated filer,” as defined under Rule 12b-2 of the Exchange Act, (iii) the date on which we have issued more than $1.0 billion in non-convertible debt securities during the previous three years, or (iv) the last day of our first fiscal year following the fifth anniversary of the closing of this offering. </w:t>
      </w:r>
    </w:p>
    <w:p>
      <w:pPr>
        <w:pStyle w:val="TextBody"/>
        <w:bidi w:val="0"/>
        <w:spacing w:before="240" w:after="0"/>
        <w:jc w:val="both"/>
        <w:rPr>
          <w:rFonts w:ascii="Times New Roman" w:hAnsi="Times New Roman"/>
          <w:sz w:val="20"/>
        </w:rPr>
      </w:pPr>
      <w:r>
        <w:rPr>
          <w:rFonts w:ascii="Times New Roman" w:hAnsi="Times New Roman"/>
          <w:sz w:val="20"/>
        </w:rPr>
        <w:t xml:space="preserve">We are also a smaller reporting company as defined in the Exchange Act. We may continue to be a smaller reporting company after this offering if either (i) the market value of our capital stock held by non-affiliates is less than $250.0 million or (ii) our annual revenue was less than $100.0 million during the most recently completed fiscal year and the market value of our capital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we are not required to comply with the auditor attestation requirements of Section 404(b) of the Sarbanes-Oxley Act and, similar to emerging growth companies, smaller reporting companies have reduced disclosure obligations regarding executive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2" w:name="tx40469_10"/>
      <w:bookmarkEnd w:id="12"/>
      <w:r>
        <w:rPr>
          <w:rFonts w:ascii="Times New Roman" w:hAnsi="Times New Roman"/>
          <w:b/>
          <w:sz w:val="20"/>
        </w:rPr>
        <w:t xml:space="preserve">BUSINESS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both"/>
        <w:rPr>
          <w:rFonts w:ascii="Times New Roman" w:hAnsi="Times New Roman"/>
          <w:sz w:val="20"/>
        </w:rPr>
      </w:pPr>
      <w:r>
        <w:rPr>
          <w:rFonts w:ascii="Times New Roman" w:hAnsi="Times New Roman"/>
          <w:sz w:val="20"/>
        </w:rPr>
        <w:t xml:space="preserve">We are a clinical-stage biopharmaceutical company developing next-generation biotherapeutics for immune-mediated diseases with high unmet need. Our lead pipeline candidates target commercially validated pathways and are designed through our ATTOBODY biologics platform to deliver improved treatments relative to the current standards of care. Leveraging our ATTOBODY platform, we have nominated three product candidates within our first two years, including one currently in the clinic, ATTO-1310. ATTO-1310 is an ATTOBODY-based therapeutic targeting interleukin-31 (IL-31) that completed dosing in a Phase 1 clinical trial in healthy volunteers (HVs) and patients in the first quarter of 2026. ATTO-2306 is an ATTOBODY-based bispecific targeting interleukin-13 (IL-13) and IL-31 that is in investigational new drug (IND)-enabling studies, and we expect to commence a Phase 1 clinical trial in the first half of 2027. Lastly, ATTO-1091 is our trispecific ATTOBODY-based Fc fusion protein that is designed to block TL1A, IL-23 and integrin </w:t>
      </w:r>
      <w:r>
        <w:rPr>
          <w:rFonts w:ascii="SYMBOL" w:hAnsi="SYMBOL"/>
          <w:sz w:val="20"/>
        </w:rPr>
        <w:t>a</w:t>
      </w:r>
      <w:r>
        <w:rPr>
          <w:rFonts w:ascii="Times New Roman" w:hAnsi="Times New Roman"/>
          <w:sz w:val="20"/>
        </w:rPr>
        <w:t xml:space="preserve">4ß7 simultaneously, and is currently in IND-enabling studies. </w:t>
      </w:r>
    </w:p>
    <w:p>
      <w:pPr>
        <w:pStyle w:val="TextBody"/>
        <w:bidi w:val="0"/>
        <w:spacing w:before="240" w:after="0"/>
        <w:jc w:val="both"/>
        <w:rPr>
          <w:rFonts w:ascii="Times New Roman" w:hAnsi="Times New Roman"/>
          <w:sz w:val="20"/>
        </w:rPr>
      </w:pPr>
      <w:r>
        <w:rPr>
          <w:rFonts w:ascii="Times New Roman" w:hAnsi="Times New Roman"/>
          <w:sz w:val="20"/>
        </w:rPr>
        <w:t xml:space="preserve">All of our product candidates have been internally discovered using our ATTOBODY biparatopic biologics platform, which we have in-licensed from Alamar Biosciences, Inc. (Alamar). Our ATTOBODY platform uses an evolution-driven, high-throughput process which allows for rapid discovery and creation of a high diversity of potential product candidates. Our initial focus for ATTOBODIES has been to develop novel biotherapeutics targeting highly synergistic, clinically and commercially validated pathways where early data indicates the potential of our candidates to deliver next-generation treatments relative to the current standards of care. Our early-stage discovery efforts have further expanded our pipeline to additional complex biologics, including conditional “AND” gate bispecifics directed against novel targets, which are historically difficult to develop with conventional antibody technology. </w:t>
      </w:r>
    </w:p>
    <w:p>
      <w:pPr>
        <w:pStyle w:val="TextBody"/>
        <w:bidi w:val="0"/>
        <w:spacing w:before="240" w:after="0"/>
        <w:jc w:val="both"/>
        <w:rPr>
          <w:rFonts w:ascii="Times New Roman" w:hAnsi="Times New Roman"/>
          <w:sz w:val="20"/>
        </w:rPr>
      </w:pPr>
      <w:r>
        <w:rPr>
          <w:rFonts w:ascii="Times New Roman" w:hAnsi="Times New Roman"/>
          <w:sz w:val="20"/>
        </w:rPr>
        <w:t xml:space="preserve">ATTO-1310 is a novel ATTOBODY-based Fc-fusion protein therapeutic that inhibits IL-31 and is currently in a Phase 1 clinical trial in HVs and patients suffering from chronic pruritus and high-itch atopic dermatitis (AD). IL-31 is commonly known as the “itch cytokine” and is upregulated in a host of pruritic diseases. We plan to evaluate ATTO-1310 for the treatment of chronic pruritic diseases such as chronic pruritus of unknown origin (CPUO), high-itch AD, cholestatic pruritus in primary biliary cholangitis (PBC) and primary sclerosing cholangitis (PSC) and chronic kidney disease-associated pruritus (CKD-aP), also known as uremic pruritus, in subsequent clinical trials. Beyond individual diseases, we also intend to pursue a potential pan-pruritic disease regulatory development path for patients with elevated levels of IL-31. Our initial clinical data demonstrated that ATTO-1310 has been well tolerated with low immunogenicity and pharmacokinetic (PK) and target engagement data supporting the possibility of an extended dosing regimen in human patients. Initial data from our Phase 1b clinical trial of ATTO-1310 in patients with chronic pruritus and high-itch AD showed rapid, deep itch relief in both patient populations and consistent lesion control for patients with high-itch AD. We believe ATTO-1310 has the potential to offer patients fast and deep itch relief, a favorable tolerability profile and convenient subcutaneous (SC) dosing once every three months. </w:t>
      </w:r>
    </w:p>
    <w:p>
      <w:pPr>
        <w:pStyle w:val="TextBody"/>
        <w:bidi w:val="0"/>
        <w:spacing w:before="240" w:after="0"/>
        <w:jc w:val="both"/>
        <w:rPr>
          <w:rFonts w:ascii="Times New Roman" w:hAnsi="Times New Roman"/>
          <w:sz w:val="20"/>
        </w:rPr>
      </w:pPr>
      <w:r>
        <w:rPr>
          <w:rFonts w:ascii="Times New Roman" w:hAnsi="Times New Roman"/>
          <w:sz w:val="20"/>
        </w:rPr>
        <w:t>ATTO-2306 is an ATTOBODY-based, half-life extended, immunoglobulin-G (IgG)-fusion protein therapeutic that inhibits IL-13 and IL-31. IL-13 and IL-31 reside in the only two clinically and commercially validated pathways in AD, and we believe that blocking them in a bispecific format offers a novel approach and a high likelihood of achieving differentiated treatment effect and extended dosing by avoiding the reverse dose-efficacy effect seen for IL-31R</w:t>
      </w:r>
      <w:r>
        <w:rPr>
          <w:rFonts w:ascii="SYMBOL" w:hAnsi="SYMBOL"/>
          <w:sz w:val="20"/>
        </w:rPr>
        <w:t>a</w:t>
      </w:r>
      <w:r>
        <w:rPr>
          <w:rFonts w:ascii="Times New Roman" w:hAnsi="Times New Roman"/>
          <w:sz w:val="20"/>
        </w:rPr>
        <w:t xml:space="preserve"> and the target-mediated drug disposition (TMDD) observed in treatments targeting IL-4R</w:t>
      </w:r>
      <w:r>
        <w:rPr>
          <w:rFonts w:ascii="SYMBOL" w:hAnsi="SYMBOL"/>
          <w:sz w:val="20"/>
        </w:rPr>
        <w:t>a</w:t>
      </w:r>
      <w:r>
        <w:rPr>
          <w:rFonts w:ascii="Times New Roman" w:hAnsi="Times New Roman"/>
          <w:sz w:val="20"/>
        </w:rPr>
        <w:t xml:space="preserve">. We believe ATTO-2306 has the potential to provide a new standard of care for the treatment of AD and other immune-mediated skin diseases, such as chronic spontaneous urticaria (CSU) and prurigo nodularis (PN), by offering favorable lesion and itch control, as well as significantly improved convenience compared to currently available treatments. The LifeSci Reports estimated that by 2035 AD will affect 21 million adults and 10 million pediatric patients in the United States, with approximately one-third of AD patients having moderate-to-severe disease. We expect to commence a Phase 1 clinical trial for ATTO-2306 in the first half of 2027.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ATTO-1091 is a trispecific ATTOBODY-based Fc-fusion protein therapeutic that inhibits TL1A, IL-23 and integrin </w:t>
      </w:r>
      <w:r>
        <w:rPr>
          <w:rFonts w:ascii="SYMBOL" w:hAnsi="SYMBOL"/>
          <w:sz w:val="20"/>
        </w:rPr>
        <w:t>a</w:t>
      </w:r>
      <w:r>
        <w:rPr>
          <w:rFonts w:ascii="Times New Roman" w:hAnsi="Times New Roman"/>
          <w:sz w:val="20"/>
        </w:rPr>
        <w:t xml:space="preserve">4ß7, and is currently undergoing IND-enabling studies. TL1A, IL-23 and integrin </w:t>
      </w:r>
      <w:r>
        <w:rPr>
          <w:rFonts w:ascii="SYMBOL" w:hAnsi="SYMBOL"/>
          <w:sz w:val="20"/>
        </w:rPr>
        <w:t>a</w:t>
      </w:r>
      <w:r>
        <w:rPr>
          <w:rFonts w:ascii="Times New Roman" w:hAnsi="Times New Roman"/>
          <w:sz w:val="20"/>
        </w:rPr>
        <w:t>4</w:t>
      </w:r>
      <w:r>
        <w:rPr>
          <w:rFonts w:ascii="SYMBOL" w:hAnsi="SYMBOL"/>
          <w:sz w:val="20"/>
        </w:rPr>
        <w:t>b</w:t>
      </w:r>
      <w:r>
        <w:rPr>
          <w:rFonts w:ascii="Times New Roman" w:hAnsi="Times New Roman"/>
          <w:sz w:val="20"/>
        </w:rPr>
        <w:t xml:space="preserve">7 all play distinct roles in inflammatory bowel disease (IBD) pathophysiology, contributing to inflammation and fibrosis in the gut and intestinal tissue. We believe that ATTO-1091 has the potential to improve upon existing induction and maintenance therapies for IBD by inhibiting three clinically validated pathways with preserved binding affinity and potency of each individual arm in the trispecific format. We plan to initiate a Phase 1 clinical trial for ATTO-1091 in the first half of 2027, subject to IND clearance. </w:t>
      </w:r>
    </w:p>
    <w:p>
      <w:pPr>
        <w:pStyle w:val="TextBody"/>
        <w:bidi w:val="0"/>
        <w:spacing w:before="360" w:after="0"/>
        <w:jc w:val="left"/>
        <w:rPr>
          <w:rFonts w:ascii="Times New Roman" w:hAnsi="Times New Roman"/>
          <w:b/>
          <w:sz w:val="20"/>
        </w:rPr>
      </w:pPr>
      <w:r>
        <w:rPr>
          <w:rFonts w:ascii="Times New Roman" w:hAnsi="Times New Roman"/>
          <w:b/>
          <w:sz w:val="20"/>
        </w:rPr>
        <w:t xml:space="preserve">Our Pipeline </w:t>
      </w:r>
    </w:p>
    <w:p>
      <w:pPr>
        <w:pStyle w:val="TextBody"/>
        <w:bidi w:val="0"/>
        <w:spacing w:before="120" w:after="0"/>
        <w:jc w:val="both"/>
        <w:rPr>
          <w:rFonts w:ascii="Times New Roman" w:hAnsi="Times New Roman"/>
          <w:sz w:val="20"/>
        </w:rPr>
      </w:pPr>
      <w:r>
        <w:rPr>
          <w:rFonts w:ascii="Times New Roman" w:hAnsi="Times New Roman"/>
          <w:sz w:val="20"/>
        </w:rPr>
        <w:t xml:space="preserve">We are developing a pipeline of novel biotherapeutics for the treatment of immune-mediated diseases (Figure 1). Our first two product candidates for our immune-dermatology franchise, ATTO-1310 and ATTO-2306, have broad potential to treat patients suffering from pruritic and lesional diseases. Our third program, ATTO-1091, broadens our reach to other inflammatory diseases such as IBD, a therapeutic area with substantial unmet need. </w:t>
      </w:r>
    </w:p>
    <w:p>
      <w:pPr>
        <w:pStyle w:val="TextBody"/>
        <w:bidi w:val="0"/>
        <w:spacing w:before="480" w:after="0"/>
        <w:jc w:val="center"/>
        <w:rPr>
          <w:rFonts w:ascii="Times New Roman" w:hAnsi="Times New Roman"/>
          <w:b/>
          <w:i/>
          <w:sz w:val="20"/>
        </w:rPr>
      </w:pPr>
      <w:r>
        <w:rPr>
          <w:rFonts w:ascii="Times New Roman" w:hAnsi="Times New Roman"/>
          <w:b/>
          <w:i/>
          <w:sz w:val="20"/>
        </w:rPr>
        <w:t xml:space="preserve">Figure 1: Our Pipeline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53100" cy="277050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5753100" cy="2770505"/>
                    </a:xfrm>
                    <a:prstGeom prst="rect">
                      <a:avLst/>
                    </a:prstGeom>
                  </pic:spPr>
                </pic:pic>
              </a:graphicData>
            </a:graphic>
          </wp:inline>
        </w:drawing>
      </w:r>
      <w:r>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Beyond the initial monospecific and multispecific applications of our ATTOBODY platform, we are exploring the development of therapeutics aimed at novel and exploratory targets and pursuing conditional “AND” gate and tetraspecific formats. A conditional “AND” gate bispecific is a molecule in which one of the arms engages its target and imparts its action only when the second arm binds to its target. </w:t>
      </w:r>
    </w:p>
    <w:p>
      <w:pPr>
        <w:pStyle w:val="TextBody"/>
        <w:bidi w:val="0"/>
        <w:spacing w:before="360" w:after="0"/>
        <w:jc w:val="left"/>
        <w:rPr>
          <w:rFonts w:ascii="Times New Roman" w:hAnsi="Times New Roman"/>
          <w:b/>
          <w:sz w:val="20"/>
        </w:rPr>
      </w:pPr>
      <w:r>
        <w:rPr>
          <w:rFonts w:ascii="Times New Roman" w:hAnsi="Times New Roman"/>
          <w:b/>
          <w:sz w:val="20"/>
        </w:rPr>
        <w:t xml:space="preserve">Our Management Team and Investors </w:t>
      </w:r>
    </w:p>
    <w:p>
      <w:pPr>
        <w:pStyle w:val="TextBody"/>
        <w:bidi w:val="0"/>
        <w:spacing w:before="120" w:after="0"/>
        <w:jc w:val="both"/>
        <w:rPr>
          <w:rFonts w:ascii="Times New Roman" w:hAnsi="Times New Roman"/>
          <w:sz w:val="20"/>
        </w:rPr>
      </w:pPr>
      <w:r>
        <w:rPr>
          <w:rFonts w:ascii="Times New Roman" w:hAnsi="Times New Roman"/>
          <w:sz w:val="20"/>
        </w:rPr>
        <w:t xml:space="preserve">We were founded in 2023 to build a therapeutics company based on the potential of our ATTOBODY platform to discover and develop novel biologics targeting immune-mediated diseases. Our company was founded by a group of investors, including Alamar, with the goal of giving the ATTOBODY platform the dedicated attention and resources necessary to fully realize its potential for therapeutics. We are led by a proven management team with a strong track record of excellence, bringing decades of experience in drug discovery, development and company leadership through multiple therapeutic approvals and strategic transactions. Our management team brings and deploys a deep understanding of disease biology to deliver potential complex biologic treatment options discovered through our ATTOBODY platform.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As of March 31, 2026, we have raised $255.8 million since our inception from leading life science investors with significant industry experience and expertise including certain of our current 5% or greater holders: Deep Track Capital, Frazier Life Sciences, Goldman Sachs Alternatives and venBio. Prospective investors should not rely on the past investment decisions of our investors, as our investors may have different risk tolerances and have received their shares in prior offerings at prices lower than the price offered to the public in this offering. In addition, some of these investors may not be subject to reporting requirements under Section 16 of the Securities Exchange Act of 1934, as amended, or the Exchange Act, and, thus, prospective investors may not necessarily know the total amount of investment by each of our existing investors and if and when our existing investors may decide to sell any of their shares. See the sections titled “Certain Relationships and Related Party Transactions” and “Principal Stockholders” for more information on prior purchases by and current holdings of these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Our Strategy </w:t>
      </w:r>
    </w:p>
    <w:p>
      <w:pPr>
        <w:pStyle w:val="TextBody"/>
        <w:bidi w:val="0"/>
        <w:spacing w:before="120" w:after="0"/>
        <w:jc w:val="both"/>
        <w:rPr>
          <w:rFonts w:ascii="Times New Roman" w:hAnsi="Times New Roman"/>
          <w:sz w:val="20"/>
        </w:rPr>
      </w:pPr>
      <w:r>
        <w:rPr>
          <w:rFonts w:ascii="Times New Roman" w:hAnsi="Times New Roman"/>
          <w:sz w:val="20"/>
        </w:rPr>
        <w:t xml:space="preserve">We believe the future treatment of immune-mediated diseases will be defined by precisely engineered biologics capable of delivering both enhanced efficacy as well as improved durability and patient convenience. Our strategy is to leverage our ATTOBODY platform to develop next-generation, precision-designed biologics with the potential to improve clinical outcomes while enabling infrequent SC dosing. We are pursuing this strategy through the following priorities: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b/>
                <w:i/>
                <w:sz w:val="20"/>
              </w:rPr>
              <w:t xml:space="preserve">Establish leadership in chronic pruritic diseases with ATTO-1310: </w:t>
            </w:r>
            <w:r>
              <w:rPr>
                <w:rFonts w:ascii="Times New Roman" w:hAnsi="Times New Roman"/>
                <w:sz w:val="20"/>
              </w:rPr>
              <w:t xml:space="preserve">ATTO-1310 is an ATTOBODY therapeutic engineered to selectively target IL-31 with high affinity and potency, with the goal of rapidly suppressing itch while providing prolonged durability. We are developing ATTO-1310 as a potential leading therapy for chronic pruritic diseases across both dermatologic and systemic conditions. We believe chronic itch remains significantly underserved due to its substantial impact on patient quality of life and the lack of effective therapies. Our early clinical data demonstrated rapid and deep reductions in itch in patients with chronic pruritus and high-itch AD, together with a favorable tolerability profile. In addition, PK and pharmacodynamic (PD) data generated in HVs and patients support the potential for convenient quarterly SC dosing. We plan to advance ATTO-1310 through multiple Phase 2 clinical trials across a broad range of pruritic conditions, which could include CPUO, high-itch AD, PBC, PSC, CKD-aP and additional pruritic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2"/>
        <w:gridCol w:w="9287"/>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b/>
                <w:i/>
                <w:sz w:val="20"/>
              </w:rPr>
              <w:t>Advance ATTO-2306 as a differentiated therapy for inflammatory skin diseases:</w:t>
            </w:r>
            <w:r>
              <w:rPr>
                <w:rFonts w:ascii="Times New Roman" w:hAnsi="Times New Roman"/>
                <w:sz w:val="20"/>
              </w:rPr>
              <w:t xml:space="preserve"> ATTO-2306 is designed to simultaneously inhibit IL-31 and IL-13 and incorporates a half-life extension domain to support prolonged dosing intervals. We are developing ATTO-2306, our bispecific therapeutic candidate, as a potential treatment for moderate-to-severe AD and other inflammatory skin diseases. We believe dual inhibition of IL-13 and IL-31 has the potential to provide differentiated clinical benefit by targeting two distinct, complementary and clinically validated pathways involved in inflammation and itch. In addition to AD, we believe ATTO-2306 may have therapeutic potential in other inflammatory conditions, including CSU and PN. Preclinical data generated to date demonstrate potent activity against both targets and PK properties that support the potential for quarterly or longer SC dosing.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b/>
                <w:i/>
                <w:sz w:val="20"/>
              </w:rPr>
              <w:t xml:space="preserve">Expand our pipeline of next-generation complex biologics: </w:t>
            </w:r>
            <w:r>
              <w:rPr>
                <w:rFonts w:ascii="Times New Roman" w:hAnsi="Times New Roman"/>
                <w:sz w:val="20"/>
              </w:rPr>
              <w:t xml:space="preserve">We believe the modular architecture, tunable affinity and engineering flexibility of the ATTOBODY platform well positions us to develop increasingly sophisticated biotherapeutics designed to precisely modulate disease biology. Our platform is intended to support the rapid generation and optimization of multispecifics and conditional “AND” gate bispecifics against validated and novel targets. Our next identified program, ATTO-1091, is being developed as a trispecific therapeutic for IBD. Beyond ATTO-1091, we intend to build a broad pipeline of additional ATTOBODY-based candidates targeting immune-mediated diseases and other serious conditions where we believe precise pathway modulation may improve efficacy, durability and patient outcomes.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b/>
                <w:i/>
                <w:sz w:val="20"/>
              </w:rPr>
              <w:t>Utilize strategic collaborations to extend platform reach and maximize value</w:t>
            </w:r>
            <w:r>
              <w:rPr>
                <w:rFonts w:ascii="Times New Roman" w:hAnsi="Times New Roman"/>
                <w:b/>
                <w:sz w:val="20"/>
              </w:rPr>
              <w:t xml:space="preserve">: </w:t>
            </w:r>
            <w:r>
              <w:rPr>
                <w:rFonts w:ascii="Times New Roman" w:hAnsi="Times New Roman"/>
                <w:sz w:val="20"/>
              </w:rPr>
              <w:t xml:space="preserve">We intend to selectively pursue strategic collaborations that may enhance the development, manufacturing and commercialization potential of our pipeline and platform. We believe our ATTOBODY technology and discovery capabilities may be applicable across a broad range of therapeutic targets and disease areas. Accordingly, we may enter into collaborations that provide access to complementary expertise, expand the reach of our platform, accelerate development timelines and strengthen our capital resources, while allowing us to retain meaningful participation in the long-term value creation of our programs and technology.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ATTOBODY Platform and Discovery Capabilities </w:t>
      </w:r>
    </w:p>
    <w:p>
      <w:pPr>
        <w:pStyle w:val="TextBody"/>
        <w:bidi w:val="0"/>
        <w:spacing w:before="120" w:after="0"/>
        <w:jc w:val="both"/>
        <w:rPr>
          <w:rFonts w:ascii="Times New Roman" w:hAnsi="Times New Roman"/>
          <w:sz w:val="20"/>
        </w:rPr>
      </w:pPr>
      <w:r>
        <w:rPr>
          <w:rFonts w:ascii="Times New Roman" w:hAnsi="Times New Roman"/>
          <w:sz w:val="20"/>
        </w:rPr>
        <w:t xml:space="preserve">Immune-mediated and other diseases typically involve alterations in multiple pathways, deregulation of specific cell types and other complex mechanisms. These pathologic changes can be difficult to address with traditional approaches such as monoclonal antibodies or small molecules. We believe that complex biologic modalities such as multispecifics that can simultaneously target several pathways, or conditional “AND” gated bispecifics that can selectively target pathologic cell types while sparing broader cell populations, are the next generation of biologic therapies that will advance our ability to treat diseases. </w:t>
      </w:r>
    </w:p>
    <w:p>
      <w:pPr>
        <w:pStyle w:val="TextBody"/>
        <w:bidi w:val="0"/>
        <w:spacing w:before="360" w:after="0"/>
        <w:jc w:val="left"/>
        <w:rPr>
          <w:rFonts w:ascii="Times New Roman" w:hAnsi="Times New Roman"/>
          <w:sz w:val="20"/>
        </w:rPr>
      </w:pPr>
      <w:r>
        <w:rPr>
          <w:rFonts w:ascii="Times New Roman" w:hAnsi="Times New Roman"/>
          <w:b/>
          <w:i/>
          <w:sz w:val="20"/>
        </w:rPr>
        <w:t>ATTOBODIES Are Well-Positioned for the Creation of Complex Biologics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Our ATTOBODY platform is designed to create highly potent monospecifics, complex biologics, including multispecifics and conditional “AND” gated bispecifics, as well as other formats. ATTOBODY-based biologics are characterized by tunable affinity with the ability to achieve high potency, a high degree of modularity, precision design, infrequent dosing and robustness on par with IgG-based antibody biologics. </w:t>
      </w:r>
    </w:p>
    <w:p>
      <w:pPr>
        <w:pStyle w:val="TextBody"/>
        <w:bidi w:val="0"/>
        <w:spacing w:before="240" w:after="0"/>
        <w:jc w:val="both"/>
        <w:rPr>
          <w:rFonts w:ascii="Times New Roman" w:hAnsi="Times New Roman"/>
          <w:sz w:val="20"/>
        </w:rPr>
      </w:pPr>
      <w:r>
        <w:rPr>
          <w:rFonts w:ascii="Times New Roman" w:hAnsi="Times New Roman"/>
          <w:sz w:val="20"/>
        </w:rPr>
        <w:t xml:space="preserve">Each ATTOBODY consists of two heavy-chain antibody variable region domains (also known as VHHs or nanobodies) connected with a proprietary peptide-based linker, with the VHHs targeting two different epitopes on a target molecule in what is known as biparatopic binding (Figure 2). VHHs are a form of antibody naturally produced by camelids and other species, which can provide an attractive alternative to IgG-based biotherapeutics. Several FDA-approved drugs, such as CABLIVI and CARVYKTI, include VHHs. The ATTOBODY platform uses an evolution-driven, high-throughput process to screen millions of combinations of VHHs simultaneously and allows us to select ATTOBODIES that are highly developable and conform to a desired set of precision design biologic properties.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i/>
          <w:sz w:val="20"/>
        </w:rPr>
      </w:pPr>
      <w:r>
        <w:rPr>
          <w:rFonts w:ascii="Times New Roman" w:hAnsi="Times New Roman"/>
          <w:b/>
          <w:i/>
          <w:sz w:val="20"/>
        </w:rPr>
        <w:t xml:space="preserve">Figure 2: The ATTOBODY Format </w:t>
      </w:r>
    </w:p>
    <w:p>
      <w:pPr>
        <w:pStyle w:val="TextBody"/>
        <w:bidi w:val="0"/>
        <w:spacing w:before="0" w:after="0"/>
        <w:jc w:val="left"/>
        <w:rPr/>
      </w:pPr>
      <w:r>
        <w:rPr/>
        <w:t> </w:t>
      </w:r>
    </w:p>
    <w:p>
      <w:pPr>
        <w:pStyle w:val="TextBody"/>
        <w:bidi w:val="0"/>
        <w:spacing w:before="0" w:after="0"/>
        <w:jc w:val="center"/>
        <w:rPr/>
      </w:pPr>
      <w:r>
        <w:rPr/>
        <w:drawing>
          <wp:inline distT="0" distB="0" distL="0" distR="0">
            <wp:extent cx="4533265" cy="325564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4533265" cy="325564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16"/>
        </w:rPr>
      </w:pPr>
      <w:r>
        <w:rPr>
          <w:rFonts w:ascii="Times New Roman" w:hAnsi="Times New Roman"/>
          <w:b/>
          <w:sz w:val="16"/>
        </w:rPr>
        <w:t xml:space="preserve">Each ATTOBODY binds to two distinct epitopes on a given target.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ATTOBODIES against individual targets can be connected into complex biologics using a variety of scaffolds and formats without loss of activity or developability. To enable extended dosing intervals, we typically fuse ATTOBODIES to an Fc fragment-based scaffold or an IgG using proprietary or standard linkers (Figure 3). </w:t>
      </w:r>
    </w:p>
    <w:p>
      <w:pPr>
        <w:pStyle w:val="TextBody"/>
        <w:bidi w:val="0"/>
        <w:spacing w:before="480" w:after="0"/>
        <w:jc w:val="center"/>
        <w:rPr>
          <w:rFonts w:ascii="Times New Roman" w:hAnsi="Times New Roman"/>
          <w:b/>
          <w:i/>
          <w:sz w:val="20"/>
        </w:rPr>
      </w:pPr>
      <w:r>
        <w:rPr>
          <w:rFonts w:ascii="Times New Roman" w:hAnsi="Times New Roman"/>
          <w:b/>
          <w:i/>
          <w:sz w:val="20"/>
        </w:rPr>
        <w:t xml:space="preserve">Figure 3: Example Complex Biologic ATTOBODY Therapeutic Formats </w:t>
      </w:r>
    </w:p>
    <w:p>
      <w:pPr>
        <w:pStyle w:val="TextBody"/>
        <w:bidi w:val="0"/>
        <w:spacing w:before="0" w:after="0"/>
        <w:jc w:val="left"/>
        <w:rPr/>
      </w:pPr>
      <w:r>
        <w:rPr/>
        <w:t> </w:t>
      </w:r>
    </w:p>
    <w:p>
      <w:pPr>
        <w:pStyle w:val="TextBody"/>
        <w:bidi w:val="0"/>
        <w:spacing w:before="0" w:after="0"/>
        <w:jc w:val="center"/>
        <w:rPr/>
      </w:pPr>
      <w:r>
        <w:rPr/>
        <w:drawing>
          <wp:inline distT="0" distB="0" distL="0" distR="0">
            <wp:extent cx="5412740" cy="409130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5412740" cy="409130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16"/>
        </w:rPr>
      </w:pPr>
      <w:r>
        <w:rPr>
          <w:rFonts w:ascii="Times New Roman" w:hAnsi="Times New Roman"/>
          <w:b/>
          <w:sz w:val="16"/>
        </w:rPr>
        <w:t xml:space="preserve">The modularity of the ATTOBODY platform enables construction of ATTOBODIES into various formats with multiple potential configurations for a given number of targets, enabling creation of bespoke biotherapeutics. </w:t>
      </w:r>
    </w:p>
    <w:p>
      <w:pPr>
        <w:pStyle w:val="TextBody"/>
        <w:bidi w:val="0"/>
        <w:spacing w:before="240" w:after="0"/>
        <w:jc w:val="both"/>
        <w:rPr>
          <w:rFonts w:ascii="Times New Roman" w:hAnsi="Times New Roman"/>
          <w:sz w:val="20"/>
        </w:rPr>
      </w:pPr>
      <w:r>
        <w:rPr>
          <w:rFonts w:ascii="Times New Roman" w:hAnsi="Times New Roman"/>
          <w:sz w:val="20"/>
        </w:rPr>
        <w:t xml:space="preserve">We believe that ATTOBODIES offer several key properties that make them well-positioned for the creation of differentiated multispecific medicines: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b/>
                <w:i/>
                <w:sz w:val="20"/>
              </w:rPr>
              <w:t>Tunable</w:t>
            </w:r>
            <w:r>
              <w:rPr>
                <w:rFonts w:ascii="Times New Roman" w:hAnsi="Times New Roman"/>
                <w:sz w:val="20"/>
              </w:rPr>
              <w:t xml:space="preserve"> </w:t>
            </w:r>
            <w:r>
              <w:rPr>
                <w:rFonts w:ascii="Times New Roman" w:hAnsi="Times New Roman"/>
                <w:b/>
                <w:i/>
                <w:sz w:val="20"/>
              </w:rPr>
              <w:t>affinity</w:t>
            </w:r>
            <w:r>
              <w:rPr>
                <w:rFonts w:ascii="Times New Roman" w:hAnsi="Times New Roman"/>
                <w:sz w:val="20"/>
              </w:rPr>
              <w:t xml:space="preserve"> </w:t>
            </w:r>
            <w:r>
              <w:rPr>
                <w:rFonts w:ascii="Times New Roman" w:hAnsi="Times New Roman"/>
                <w:b/>
                <w:i/>
                <w:sz w:val="20"/>
              </w:rPr>
              <w:t>with</w:t>
            </w:r>
            <w:r>
              <w:rPr>
                <w:rFonts w:ascii="Times New Roman" w:hAnsi="Times New Roman"/>
                <w:sz w:val="20"/>
              </w:rPr>
              <w:t xml:space="preserve"> </w:t>
            </w:r>
            <w:r>
              <w:rPr>
                <w:rFonts w:ascii="Times New Roman" w:hAnsi="Times New Roman"/>
                <w:b/>
                <w:i/>
                <w:sz w:val="20"/>
              </w:rPr>
              <w:t>the</w:t>
            </w:r>
            <w:r>
              <w:rPr>
                <w:rFonts w:ascii="Times New Roman" w:hAnsi="Times New Roman"/>
                <w:sz w:val="20"/>
              </w:rPr>
              <w:t xml:space="preserve"> </w:t>
            </w:r>
            <w:r>
              <w:rPr>
                <w:rFonts w:ascii="Times New Roman" w:hAnsi="Times New Roman"/>
                <w:b/>
                <w:i/>
                <w:sz w:val="20"/>
              </w:rPr>
              <w:t>option</w:t>
            </w:r>
            <w:r>
              <w:rPr>
                <w:rFonts w:ascii="Times New Roman" w:hAnsi="Times New Roman"/>
                <w:sz w:val="20"/>
              </w:rPr>
              <w:t xml:space="preserve"> </w:t>
            </w:r>
            <w:r>
              <w:rPr>
                <w:rFonts w:ascii="Times New Roman" w:hAnsi="Times New Roman"/>
                <w:b/>
                <w:i/>
                <w:sz w:val="20"/>
              </w:rPr>
              <w:t>to</w:t>
            </w:r>
            <w:r>
              <w:rPr>
                <w:rFonts w:ascii="Times New Roman" w:hAnsi="Times New Roman"/>
                <w:sz w:val="20"/>
              </w:rPr>
              <w:t xml:space="preserve"> </w:t>
            </w:r>
            <w:r>
              <w:rPr>
                <w:rFonts w:ascii="Times New Roman" w:hAnsi="Times New Roman"/>
                <w:b/>
                <w:i/>
                <w:sz w:val="20"/>
              </w:rPr>
              <w:t>achieve</w:t>
            </w:r>
            <w:r>
              <w:rPr>
                <w:rFonts w:ascii="Times New Roman" w:hAnsi="Times New Roman"/>
                <w:sz w:val="20"/>
              </w:rPr>
              <w:t xml:space="preserve"> </w:t>
            </w:r>
            <w:r>
              <w:rPr>
                <w:rFonts w:ascii="Times New Roman" w:hAnsi="Times New Roman"/>
                <w:b/>
                <w:i/>
                <w:sz w:val="20"/>
              </w:rPr>
              <w:t>high</w:t>
            </w:r>
            <w:r>
              <w:rPr>
                <w:rFonts w:ascii="Times New Roman" w:hAnsi="Times New Roman"/>
                <w:sz w:val="20"/>
              </w:rPr>
              <w:t xml:space="preserve"> </w:t>
            </w:r>
            <w:r>
              <w:rPr>
                <w:rFonts w:ascii="Times New Roman" w:hAnsi="Times New Roman"/>
                <w:b/>
                <w:i/>
                <w:sz w:val="20"/>
              </w:rPr>
              <w:t>potency,</w:t>
            </w:r>
            <w:r>
              <w:rPr>
                <w:rFonts w:ascii="Times New Roman" w:hAnsi="Times New Roman"/>
                <w:sz w:val="20"/>
              </w:rPr>
              <w:t xml:space="preserve"> driven by the biparatopic mode of target binding, results in high achievable affinity directly from discovery screening, without the need for affinity maturation.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b/>
                <w:i/>
                <w:sz w:val="20"/>
              </w:rPr>
              <w:t>Precision design</w:t>
            </w:r>
            <w:r>
              <w:rPr>
                <w:rFonts w:ascii="Times New Roman" w:hAnsi="Times New Roman"/>
                <w:sz w:val="20"/>
              </w:rPr>
              <w:t xml:space="preserve"> enables the discovery of ATTOBODIES that, for example, bind to specific epitopes on target molecules for target selectivity, spare desired biologic pathways such as decoy clearance mechanisms, or avoid known target-specific challenges such as aggregation.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b/>
                <w:i/>
                <w:sz w:val="20"/>
              </w:rPr>
              <w:t xml:space="preserve">Significant engineering potential </w:t>
            </w:r>
            <w:r>
              <w:rPr>
                <w:rFonts w:ascii="Times New Roman" w:hAnsi="Times New Roman"/>
                <w:sz w:val="20"/>
              </w:rPr>
              <w:t xml:space="preserve">with the ability to simultaneously connect multiple ATTOBODIES into multispecifics that retain the biological properties of each individual ATTOBODY with excellent developability.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b/>
                <w:i/>
                <w:sz w:val="20"/>
              </w:rPr>
              <w:t>Tunable half-life</w:t>
            </w:r>
            <w:r>
              <w:rPr>
                <w:rFonts w:ascii="Times New Roman" w:hAnsi="Times New Roman"/>
                <w:sz w:val="20"/>
              </w:rPr>
              <w:t xml:space="preserve"> through ease of fusion to a variety of half-life extending fragments such as albumin-binding VHHs, Fc fragments or IgGs, with potential for infrequent dosing in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b/>
                <w:i/>
                <w:sz w:val="20"/>
              </w:rPr>
              <w:t>Simple manufacturing</w:t>
            </w:r>
            <w:r>
              <w:rPr>
                <w:rFonts w:ascii="Times New Roman" w:hAnsi="Times New Roman"/>
                <w:sz w:val="20"/>
              </w:rPr>
              <w:t xml:space="preserve"> using standard equipment and processes for making biologics.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have completed over 15 successful ATTOBODY campaigns against a variety of target types including cytokines, cell surface molecules, and multi-transmembrane proteins with a 100% success rate in discovering individual ATTOBODIES and complex biologics conforming to desirable characteristics in preclinical studies. Our preclinical discovery timelines are short, reflective of the robust nature of the platform; we have been able to nominate a development candidate within 12 months of commencing a preclinical discovery process and to submit an IND application within two years from commencing such preclinical discovery. We believe that the initial clinical data from the ATTO-1310 Phase 1 trial has preliminarily demonstrated that ATTO-1310 has the potential for favorable tolerability, low immunogenicity, fast and deep pruritic relief and convenient quarterly SC dosing. </w:t>
      </w:r>
    </w:p>
    <w:p>
      <w:pPr>
        <w:pStyle w:val="TextBody"/>
        <w:bidi w:val="0"/>
        <w:spacing w:before="360" w:after="0"/>
        <w:jc w:val="left"/>
        <w:rPr>
          <w:rFonts w:ascii="Times New Roman" w:hAnsi="Times New Roman"/>
          <w:b/>
          <w:sz w:val="20"/>
        </w:rPr>
      </w:pPr>
      <w:r>
        <w:rPr>
          <w:rFonts w:ascii="Times New Roman" w:hAnsi="Times New Roman"/>
          <w:b/>
          <w:sz w:val="20"/>
        </w:rPr>
        <w:t xml:space="preserve">ATTO-1310 for Chronic Pruritic Diseases </w:t>
      </w:r>
    </w:p>
    <w:p>
      <w:pPr>
        <w:pStyle w:val="TextBody"/>
        <w:bidi w:val="0"/>
        <w:spacing w:before="120" w:after="0"/>
        <w:jc w:val="both"/>
        <w:rPr>
          <w:rFonts w:ascii="Times New Roman" w:hAnsi="Times New Roman"/>
          <w:sz w:val="20"/>
        </w:rPr>
      </w:pPr>
      <w:r>
        <w:rPr>
          <w:rFonts w:ascii="Times New Roman" w:hAnsi="Times New Roman"/>
          <w:sz w:val="20"/>
        </w:rPr>
        <w:t xml:space="preserve">ATTO-1310 is a novel half-life extended anti-IL-31 ATTOBODY-based therapeutic currently in a Phase 1 clinical trial. We intend to develop ATTO-1310 for the treatment of chronic pruritic diseases such as CPUO, high-itch AD, cholestatic pruritus, and CKD-aP, with a long-term precision immunology-based clinical strategy. We believe that the initial clinical data from the ATTO-1310 Phase 1 trial has preliminarily demonstrated that ATTO-1310 has the potential for favorable tolerability, low immunogenicity, fast and deep pruritic relief and convenient quarterly SC dosing. We expect to initiate a Phase 2 trial by the first half of 2027. </w:t>
      </w:r>
    </w:p>
    <w:p>
      <w:pPr>
        <w:pStyle w:val="TextBody"/>
        <w:bidi w:val="0"/>
        <w:spacing w:before="360" w:after="0"/>
        <w:jc w:val="left"/>
        <w:rPr>
          <w:rFonts w:ascii="Times New Roman" w:hAnsi="Times New Roman"/>
          <w:b/>
          <w:i/>
          <w:sz w:val="20"/>
        </w:rPr>
      </w:pPr>
      <w:r>
        <w:rPr>
          <w:rFonts w:ascii="Times New Roman" w:hAnsi="Times New Roman"/>
          <w:b/>
          <w:i/>
          <w:sz w:val="20"/>
        </w:rPr>
        <w:t xml:space="preserve">Background on the Chronic Pruritus Market </w:t>
      </w:r>
    </w:p>
    <w:p>
      <w:pPr>
        <w:pStyle w:val="TextBody"/>
        <w:bidi w:val="0"/>
        <w:spacing w:before="120" w:after="0"/>
        <w:jc w:val="both"/>
        <w:rPr>
          <w:rFonts w:ascii="Times New Roman" w:hAnsi="Times New Roman"/>
          <w:sz w:val="20"/>
        </w:rPr>
      </w:pPr>
      <w:r>
        <w:rPr>
          <w:rFonts w:ascii="Times New Roman" w:hAnsi="Times New Roman"/>
          <w:sz w:val="20"/>
        </w:rPr>
        <w:t xml:space="preserve">Chronic pruritus is a debilitating condition affecting patients with skin diseases (e.g., CPUO, AD), chronic liver disease, chronic kidney disease (CKD), hematologic malignancies, neuropathic disorders and other pathologies. Epidemiologic studies estimate that chronic itch affects over 10% of the general population at any given time and a substantially higher proportion of patients with chronic skin disease, cholestatic liver disease or advanced chronic kidney disease. This translates into millions of patients worldwide living with persistent, often severe pruritus that interferes with sleep, work, mental health and social functioning. In the United States alone, based on the LifeSci Reports and other third-party data, we estimate that by 2035, there will be over 15 million patients with chronic pruritus. This includes at least approximately 3.9 million patients with CPUO, approximately 6.2 million patients with high-itch AD, approximately 2.7 million patients with hepatic itch, approximately 0.5 million patients with CKD-aP, approximately 0.2 million patients with prurigo nodularis, approximately 1.5 million patients with CSU and approximately 0.1 million patients with other pruritic diseases. Despite this broad burden, treatment remains largely non-specific, with patients cycling through off-label therapies with limited efficacy or tolerability. We believe there is a significant global need for pruritus-specific medicines that can be deployed across dermatology, hepatology, nephrology and other areas of medicine.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Background on the CPUO Market </w:t>
      </w:r>
    </w:p>
    <w:p>
      <w:pPr>
        <w:pStyle w:val="TextBody"/>
        <w:bidi w:val="0"/>
        <w:spacing w:before="120" w:after="0"/>
        <w:jc w:val="both"/>
        <w:rPr>
          <w:rFonts w:ascii="Times New Roman" w:hAnsi="Times New Roman"/>
          <w:sz w:val="20"/>
        </w:rPr>
      </w:pPr>
      <w:r>
        <w:rPr>
          <w:rFonts w:ascii="Times New Roman" w:hAnsi="Times New Roman"/>
          <w:sz w:val="20"/>
        </w:rPr>
        <w:t xml:space="preserve">CPUO refers to persistent pruritus lasting more than six weeks without inflammatory skin lesions, lacking an identifiable cause. The LifeSci Reports estimated that by 2035 CPUO will have an adult prevalence of approximately 4 million patients in the United States, with approximately two-thirds having moderate-to-severe disease.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Overview of Current CPUO Treatment and Unmet Needs </w:t>
      </w:r>
    </w:p>
    <w:p>
      <w:pPr>
        <w:pStyle w:val="TextBody"/>
        <w:bidi w:val="0"/>
        <w:spacing w:before="120" w:after="0"/>
        <w:jc w:val="both"/>
        <w:rPr>
          <w:rFonts w:ascii="Times New Roman" w:hAnsi="Times New Roman"/>
          <w:sz w:val="20"/>
        </w:rPr>
      </w:pPr>
      <w:r>
        <w:rPr>
          <w:rFonts w:ascii="Times New Roman" w:hAnsi="Times New Roman"/>
          <w:sz w:val="20"/>
        </w:rPr>
        <w:t xml:space="preserve">Current management of CPUO involves providing symptomatic relief and addressing the psychosocial toll of the symptoms; however, effective treatments remain limited. CPUO treatments often start with antihistamines, which are largely ineffective for non-histaminergic pruritus, followed by neuropathic agents like gabapentin and pregabalin, which modulate central sensitization. Second-line options include rifampicin and opioid receptor modulators like naltrexone, though their effectiveness varies.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Unmet medical needs in chronic pruritus remain significant. Patients frequently report pruritus as their most debilitating symptom, sometimes linked to suicidal ideation. No FDA-approved targeted therapies exist to treat CPUO, highlighting the urgency to develop treatments.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Background on the High-Itch AD Market </w:t>
      </w:r>
    </w:p>
    <w:p>
      <w:pPr>
        <w:pStyle w:val="TextBody"/>
        <w:bidi w:val="0"/>
        <w:spacing w:before="120" w:after="0"/>
        <w:jc w:val="both"/>
        <w:rPr>
          <w:rFonts w:ascii="Times New Roman" w:hAnsi="Times New Roman"/>
          <w:sz w:val="20"/>
        </w:rPr>
      </w:pPr>
      <w:r>
        <w:rPr>
          <w:rFonts w:ascii="Times New Roman" w:hAnsi="Times New Roman"/>
          <w:sz w:val="20"/>
        </w:rPr>
        <w:t xml:space="preserve">AD, the most common form of eczema, is one of the most prevalent immune-mediated diseases, affecting individuals across all ages, ethnicities and geographies. AD is a multifactorial condition driven by genetic predispositions, immune system dysregulation and environmental factors. Independent third-party market research studies commissioned by us estimated that by 2035 AD will affect 21 million adults and 10 million pediatric patients in the United States, with approximately one-third having upper mild-to-moderate disease, defined as having an Eczema Area Severity Index (EASI) score of 5 to 21. Further, approximately 2 million adults and approximately 1 million pediatric patients with EASI of 5 to 21 will experience severe itch, representing the high-itch mild-to-moderate AD population. </w:t>
      </w:r>
    </w:p>
    <w:p>
      <w:pPr>
        <w:pStyle w:val="TextBody"/>
        <w:bidi w:val="0"/>
        <w:spacing w:before="240" w:after="0"/>
        <w:jc w:val="both"/>
        <w:rPr>
          <w:rFonts w:ascii="Times New Roman" w:hAnsi="Times New Roman"/>
          <w:sz w:val="20"/>
        </w:rPr>
      </w:pPr>
      <w:r>
        <w:rPr>
          <w:rFonts w:ascii="Times New Roman" w:hAnsi="Times New Roman"/>
          <w:sz w:val="20"/>
        </w:rPr>
        <w:t xml:space="preserve">AD significantly impacts quality of life with symptoms such as intense itching (pruritus), redness, dry skin, excoriation, and, in chronic cases, thickened and marked skin. These symptoms of pruritus and inflammatory skin lesions, typically occurring on the neck, inner elbows and behind the knees, create an “itch-scratch cycle” that exacerbates inflammation and dysfunction of the skin barrier. Pruritus is the most burdensome symptom of AD. As a result, patients often experience anxiety, depression and social isolation, further compounding the impact of the disease and ultimately resulting in a substantial economic burden. </w:t>
      </w:r>
    </w:p>
    <w:p>
      <w:pPr>
        <w:pStyle w:val="TextBody"/>
        <w:bidi w:val="0"/>
        <w:spacing w:before="360" w:after="0"/>
        <w:jc w:val="left"/>
        <w:rPr>
          <w:rFonts w:ascii="Times New Roman" w:hAnsi="Times New Roman"/>
          <w:b/>
          <w:i/>
          <w:sz w:val="20"/>
        </w:rPr>
      </w:pPr>
      <w:r>
        <w:rPr>
          <w:rFonts w:ascii="Times New Roman" w:hAnsi="Times New Roman"/>
          <w:b/>
          <w:i/>
          <w:sz w:val="20"/>
        </w:rPr>
        <w:t xml:space="preserve">Overview of Current High-Itch AD Treatment and Unmet Needs </w:t>
      </w:r>
    </w:p>
    <w:p>
      <w:pPr>
        <w:pStyle w:val="TextBody"/>
        <w:bidi w:val="0"/>
        <w:spacing w:before="120" w:after="0"/>
        <w:jc w:val="both"/>
        <w:rPr>
          <w:rFonts w:ascii="Times New Roman" w:hAnsi="Times New Roman"/>
          <w:sz w:val="20"/>
        </w:rPr>
      </w:pPr>
      <w:r>
        <w:rPr>
          <w:rFonts w:ascii="Times New Roman" w:hAnsi="Times New Roman"/>
          <w:sz w:val="20"/>
        </w:rPr>
        <w:t xml:space="preserve">The treatment for AD has advanced over the past decade, driven by a deeper understanding of disease pathology and the emergence of targeted therapies. For mild-to-moderate cases, topical steroidal and non-steroidal (e.g., EUCRISA, ZORYVE, OPZELURA, VTAMA) therapies remain the front-line treatment, effectively managing flares, but are limited by side effects such as skin thinning and the need for frequent reapplication across potentially broad body surface area. While these therapeutics have benefited patients, no therapies have been approved specifically for the treatment of high itch in AD patients, where significant unmet needs persist,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203"/>
        <w:gridCol w:w="9291"/>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b/>
              </w:rPr>
            </w:pPr>
            <w:r>
              <w:rPr>
                <w:b/>
              </w:rPr>
              <w:t>1.</w:t>
            </w:r>
          </w:p>
        </w:tc>
        <w:tc>
          <w:tcPr>
            <w:tcW w:w="203"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b/>
                <w:sz w:val="20"/>
              </w:rPr>
              <w:t>Inadequate pruritic relief offered by current therapies.</w:t>
            </w:r>
            <w:r>
              <w:rPr>
                <w:rFonts w:ascii="Times New Roman" w:hAnsi="Times New Roman"/>
                <w:sz w:val="20"/>
              </w:rPr>
              <w:t xml:space="preserve"> For example, OPZELURA, a currently approved topical drug for mild-to-moderate AD, requires twice-daily application, with only approximately 37% of patients (placebo-adjusted) achieving a 4-point or greater reduction in their daily itch score after 8 weeks of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202"/>
        <w:gridCol w:w="92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b/>
              </w:rPr>
            </w:pPr>
            <w:r>
              <w:rPr>
                <w:b/>
              </w:rPr>
              <w:t>2.</w:t>
            </w:r>
          </w:p>
        </w:tc>
        <w:tc>
          <w:tcPr>
            <w:tcW w:w="202" w:type="dxa"/>
            <w:tcBorders/>
          </w:tcPr>
          <w:p>
            <w:pPr>
              <w:pStyle w:val="TableContents"/>
              <w:bidi w:val="0"/>
              <w:spacing w:before="0" w:after="283"/>
              <w:jc w:val="left"/>
              <w:rPr/>
            </w:pPr>
            <w:r>
              <w:rPr/>
              <w:t> </w:t>
            </w:r>
          </w:p>
        </w:tc>
        <w:tc>
          <w:tcPr>
            <w:tcW w:w="9292" w:type="dxa"/>
            <w:tcBorders/>
          </w:tcPr>
          <w:p>
            <w:pPr>
              <w:pStyle w:val="TableContents"/>
              <w:bidi w:val="0"/>
              <w:spacing w:before="0" w:after="0"/>
              <w:jc w:val="both"/>
              <w:rPr>
                <w:rFonts w:ascii="Times New Roman" w:hAnsi="Times New Roman"/>
                <w:sz w:val="20"/>
              </w:rPr>
            </w:pPr>
            <w:r>
              <w:rPr>
                <w:rFonts w:ascii="Times New Roman" w:hAnsi="Times New Roman"/>
                <w:b/>
                <w:sz w:val="20"/>
              </w:rPr>
              <w:t>Current treatment options result in poor adherence for patients.</w:t>
            </w:r>
            <w:r>
              <w:rPr>
                <w:rFonts w:ascii="Times New Roman" w:hAnsi="Times New Roman"/>
                <w:sz w:val="20"/>
              </w:rPr>
              <w:t xml:space="preserve"> Poor adherence to topical therapies is a well-documented barrier to disease control in AD, where up to twice-daily application (e.g., EUCRISA, OPZELURA) poses significant barriers. For example, one study has shown that adherence to twice-daily topical application declines from approximately 81% on day 1 to approximately 50% by day 27.2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202"/>
        <w:gridCol w:w="92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b/>
              </w:rPr>
            </w:pPr>
            <w:r>
              <w:rPr>
                <w:b/>
              </w:rPr>
              <w:t>3.</w:t>
            </w:r>
          </w:p>
        </w:tc>
        <w:tc>
          <w:tcPr>
            <w:tcW w:w="202" w:type="dxa"/>
            <w:tcBorders/>
          </w:tcPr>
          <w:p>
            <w:pPr>
              <w:pStyle w:val="TableContents"/>
              <w:bidi w:val="0"/>
              <w:spacing w:before="0" w:after="283"/>
              <w:jc w:val="left"/>
              <w:rPr/>
            </w:pPr>
            <w:r>
              <w:rPr/>
              <w:t> </w:t>
            </w:r>
          </w:p>
        </w:tc>
        <w:tc>
          <w:tcPr>
            <w:tcW w:w="9292" w:type="dxa"/>
            <w:tcBorders/>
          </w:tcPr>
          <w:p>
            <w:pPr>
              <w:pStyle w:val="TableContents"/>
              <w:bidi w:val="0"/>
              <w:spacing w:before="0" w:after="0"/>
              <w:jc w:val="both"/>
              <w:rPr>
                <w:rFonts w:ascii="Times New Roman" w:hAnsi="Times New Roman"/>
                <w:sz w:val="20"/>
              </w:rPr>
            </w:pPr>
            <w:r>
              <w:rPr>
                <w:rFonts w:ascii="Times New Roman" w:hAnsi="Times New Roman"/>
                <w:b/>
                <w:sz w:val="20"/>
              </w:rPr>
              <w:t>Lack of FDA-approved itch-specific treatment option.</w:t>
            </w:r>
            <w:r>
              <w:rPr>
                <w:rFonts w:ascii="Times New Roman" w:hAnsi="Times New Roman"/>
                <w:sz w:val="20"/>
              </w:rPr>
              <w:t xml:space="preserve"> No oral, topical, biologic or other systemic therapy has been indicated specifically for the treatment of severe itch in the mild-to-moderate AD population.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Background on the Cholestatic Pruritus Market and Overview of Cholestatic Pruritus Treatment and Unmet Needs </w:t>
      </w:r>
    </w:p>
    <w:p>
      <w:pPr>
        <w:pStyle w:val="TextBody"/>
        <w:bidi w:val="0"/>
        <w:spacing w:before="120" w:after="0"/>
        <w:jc w:val="both"/>
        <w:rPr>
          <w:rFonts w:ascii="Times New Roman" w:hAnsi="Times New Roman"/>
          <w:sz w:val="20"/>
        </w:rPr>
      </w:pPr>
      <w:r>
        <w:rPr>
          <w:rFonts w:ascii="Times New Roman" w:hAnsi="Times New Roman"/>
          <w:sz w:val="20"/>
        </w:rPr>
        <w:t xml:space="preserve">Cholestatic pruritus is a highly debilitating, chronic disease affecting a large share of patients with PBC and PSC. The LifeSci Reports estimated that by 2035 there will be approximately 123,000 adults across the United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Yentzer BA, et al. J Drugs Dermatol. 2010 Apr;9(4):324-9.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States with PBC/PSC, with approximately 60-65% of those having uncontrolled associated pruritus. The pruritus in these patients drives sleep disruption, functional impairment, depression, and, in extreme cases, liver transplantation in the absence of liver failure. </w:t>
      </w:r>
    </w:p>
    <w:p>
      <w:pPr>
        <w:pStyle w:val="TextBody"/>
        <w:bidi w:val="0"/>
        <w:spacing w:before="240" w:after="0"/>
        <w:jc w:val="both"/>
        <w:rPr>
          <w:rFonts w:ascii="Times New Roman" w:hAnsi="Times New Roman"/>
          <w:sz w:val="20"/>
        </w:rPr>
      </w:pPr>
      <w:r>
        <w:rPr>
          <w:rFonts w:ascii="Times New Roman" w:hAnsi="Times New Roman"/>
          <w:sz w:val="20"/>
        </w:rPr>
        <w:t xml:space="preserve">Management of cholestatic pruritus remains fragmented, relying on therapies such as bile acid sequestrants (e.g., cholestyramine), rifampin, opioid antagonists (e.g., naloxone, naltrexone), neuromodulators (e.g., gabapentin) and antidepressants (e.g., sertraline), which are often limited by suboptimal efficacy, complex dosing, unfavorable tolerability and/or gastrointestinal (GI)-tolerability concerns. More recently, peroxisome proliferator-activated receptor (PPAR) alpha and/or delta agonists, elafibranor (IQIRVO) and seladelpar (LIVDELZI), respectively, have been approved by the FDA for PBC liver disease control, and ileal bile acid transporter (IBAT) inhibitors, maralixibat (LIVMARLI) and odevixibat (BYLVAY), for pediatric bile-acid-mediated pruritus. IBAT inhibitors are also now in development for adult cholestatic pruritus secondary to PBC and PSC. </w:t>
      </w:r>
    </w:p>
    <w:p>
      <w:pPr>
        <w:pStyle w:val="TextBody"/>
        <w:bidi w:val="0"/>
        <w:spacing w:before="360" w:after="0"/>
        <w:jc w:val="left"/>
        <w:rPr>
          <w:rFonts w:ascii="Times New Roman" w:hAnsi="Times New Roman"/>
          <w:b/>
          <w:i/>
          <w:sz w:val="20"/>
        </w:rPr>
      </w:pPr>
      <w:r>
        <w:rPr>
          <w:rFonts w:ascii="Times New Roman" w:hAnsi="Times New Roman"/>
          <w:b/>
          <w:i/>
          <w:sz w:val="20"/>
        </w:rPr>
        <w:t xml:space="preserve">Background on the CKD-aP Market and Overview of CKD-aP Treatment and Unmet Needs </w:t>
      </w:r>
    </w:p>
    <w:p>
      <w:pPr>
        <w:pStyle w:val="TextBody"/>
        <w:bidi w:val="0"/>
        <w:spacing w:before="120" w:after="0"/>
        <w:jc w:val="both"/>
        <w:rPr>
          <w:rFonts w:ascii="Times New Roman" w:hAnsi="Times New Roman"/>
          <w:sz w:val="20"/>
        </w:rPr>
      </w:pPr>
      <w:r>
        <w:rPr>
          <w:rFonts w:ascii="Times New Roman" w:hAnsi="Times New Roman"/>
          <w:sz w:val="20"/>
        </w:rPr>
        <w:t xml:space="preserve">CKD-aP, also known as uremic pruritus, is a frequent condition across the CKD continuum, particularly in patients with advanced disease and end-stage renal disease. The LifeSci Reports estimated that by 2035 there will be approximately 36 million adults across the United States with CKD, with approximately 1 million of those patients having Stage 4 or Stage 5 disease. Of these, approximately 50% will have moderate-to-severe pruritus. CKD-aP is strongly associated with impaired sleep, reduced quality of life and higher hospitalization and mortality. </w:t>
      </w:r>
    </w:p>
    <w:p>
      <w:pPr>
        <w:pStyle w:val="TextBody"/>
        <w:bidi w:val="0"/>
        <w:spacing w:before="240" w:after="0"/>
        <w:jc w:val="both"/>
        <w:rPr>
          <w:rFonts w:ascii="Times New Roman" w:hAnsi="Times New Roman"/>
          <w:sz w:val="20"/>
        </w:rPr>
      </w:pPr>
      <w:r>
        <w:rPr>
          <w:rFonts w:ascii="Times New Roman" w:hAnsi="Times New Roman"/>
          <w:sz w:val="20"/>
        </w:rPr>
        <w:t xml:space="preserve">Today, treatment of CKD-aP is fragmented. Most patients are managed with non-labeled oral agents such as neuromodulators (e.g., gabapentinoids), antidepressants (e.g., sertraline) and opioid antagonists (e.g., naloxone, naltrexone), which provide inconsistent relief and are limited by sedation, and carry other adverse effects in elderly, comorbid populations. Intravenous difelikefalin (KORSUVA), a peripherally restricted kappa opioid agonist, is the sole approved drug specifically labeled for CKD-aP, but has only been trialed in and approved for the dialysis setting. We are not aware of any active biologic programs aimed broadly at the full CKD-aP population, presenting it as a strong opportunity for novel treatments.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Precision Immunology Overview </w:t>
      </w:r>
    </w:p>
    <w:p>
      <w:pPr>
        <w:pStyle w:val="TextBody"/>
        <w:bidi w:val="0"/>
        <w:spacing w:before="120" w:after="0"/>
        <w:jc w:val="both"/>
        <w:rPr>
          <w:rFonts w:ascii="Times New Roman" w:hAnsi="Times New Roman"/>
          <w:sz w:val="20"/>
        </w:rPr>
      </w:pPr>
      <w:r>
        <w:rPr>
          <w:rFonts w:ascii="Times New Roman" w:hAnsi="Times New Roman"/>
          <w:sz w:val="20"/>
        </w:rPr>
        <w:t xml:space="preserve">IL-31 is upregulated across a wide spectrum of pruritic diseases (Figure 4), creating a potentially vast opportunity for targeted treatment. In the long term, we plan to explore a precision immunology strategy centered on IL-31 as a key pruritogenic cytokine across multiple organ systems. Building upon our expertise and external clinical experience in CPUO, high-itch AD, cholestatic pruritus, CKD-aP and other pruritic diseases, there is an opportunity to develop a deep understanding of the pharmacodynamic (PD) relationship between IL-31 levels, ATTO-1310 treatment, and pruritus. Concurrently, we have access to a proprietary, highly sensitive anti-IL-31 assay which could be developed into a biomarker and used to identify patients whose itch is driven by IL-31, independent of the underlying pathophysiology.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i/>
          <w:sz w:val="20"/>
        </w:rPr>
      </w:pPr>
      <w:r>
        <w:rPr>
          <w:rFonts w:ascii="Times New Roman" w:hAnsi="Times New Roman"/>
          <w:b/>
          <w:i/>
          <w:sz w:val="20"/>
        </w:rPr>
        <w:t xml:space="preserve">Figure 4: Serum IL-31 Levels in Healthy Patients and Patients Suffering from Pruritic Diseases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3693795"/>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5765800" cy="369379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16"/>
        </w:rPr>
      </w:pPr>
      <w:r>
        <w:rPr>
          <w:rFonts w:ascii="Times New Roman" w:hAnsi="Times New Roman"/>
          <w:b/>
          <w:sz w:val="16"/>
        </w:rPr>
        <w:t xml:space="preserve">Higher levels of serum IL-31 evident across a wide spectrum of immune-mediated conditions when compared to healthy subjects. By targeting IL-31, ATTO-1310 has the potential to treat pruritus across diseases. </w:t>
      </w:r>
    </w:p>
    <w:p>
      <w:pPr>
        <w:pStyle w:val="TextBody"/>
        <w:bidi w:val="0"/>
        <w:spacing w:before="240" w:after="0"/>
        <w:jc w:val="left"/>
        <w:rPr>
          <w:rFonts w:ascii="Times New Roman" w:hAnsi="Times New Roman"/>
          <w:b/>
          <w:sz w:val="20"/>
        </w:rPr>
      </w:pPr>
      <w:r>
        <w:rPr>
          <w:rFonts w:ascii="Times New Roman" w:hAnsi="Times New Roman"/>
          <w:b/>
          <w:sz w:val="20"/>
        </w:rPr>
        <w:t xml:space="preserve">Rationale for IL-31 in Pruritic Diseases </w:t>
      </w:r>
    </w:p>
    <w:p>
      <w:pPr>
        <w:pStyle w:val="TextBody"/>
        <w:bidi w:val="0"/>
        <w:spacing w:before="120" w:after="0"/>
        <w:jc w:val="left"/>
        <w:rPr>
          <w:rFonts w:ascii="Times New Roman" w:hAnsi="Times New Roman"/>
          <w:b/>
          <w:i/>
          <w:sz w:val="20"/>
        </w:rPr>
      </w:pPr>
      <w:r>
        <w:rPr>
          <w:rFonts w:ascii="Times New Roman" w:hAnsi="Times New Roman"/>
          <w:b/>
          <w:i/>
          <w:sz w:val="20"/>
        </w:rPr>
        <w:t xml:space="preserve">IL-31 is a Central Itch Cytokine in a Host of Indications </w:t>
      </w:r>
    </w:p>
    <w:p>
      <w:pPr>
        <w:pStyle w:val="TextBody"/>
        <w:bidi w:val="0"/>
        <w:spacing w:before="120" w:after="0"/>
        <w:jc w:val="both"/>
        <w:rPr>
          <w:rFonts w:ascii="Times New Roman" w:hAnsi="Times New Roman"/>
          <w:sz w:val="20"/>
        </w:rPr>
      </w:pPr>
      <w:r>
        <w:rPr>
          <w:rFonts w:ascii="Times New Roman" w:hAnsi="Times New Roman"/>
          <w:sz w:val="20"/>
        </w:rPr>
        <w:t>The IL-31 pathway plays a crucial role in the pathogenesis of pruritic diseases, making it a key target for therapeutic development (Figure 5). IL-31 binds to a heterodimeric receptor, consisting of IL-31 receptor alpha (IL-31R</w:t>
      </w:r>
      <w:r>
        <w:rPr>
          <w:rFonts w:ascii="SYMBOL" w:hAnsi="SYMBOL"/>
          <w:sz w:val="20"/>
        </w:rPr>
        <w:t>a</w:t>
      </w:r>
      <w:r>
        <w:rPr>
          <w:rFonts w:ascii="Times New Roman" w:hAnsi="Times New Roman"/>
          <w:sz w:val="20"/>
        </w:rPr>
        <w:t xml:space="preserve">) and oncostatin M receptor beta (OSMRß), subsequently signaling through the Janus kinase/signal transducer and activator of transcription (JAK/STAT) pathway, the phosphoinositide-3-kinase/Akt (PI3K/AKT) pathway and the mitogen-activated protein kinase (MAPK) pathway. A wide range of biological functions are attributed to IL-31, such as the regulation of immune responses, the induction of chemokines, signal proteins and proinflammatory cytokines, and the regulation of cell proliferation. IL-31 has been labeled the “itch cytokine” for its ability to induce itch: (1) IL-31 expression is increased in the lesional skin of patients with pruritic skin disorders; (2) its receptors are localized in dorsal root ganglia and cutaneous nerve fibers; (3) scratching behavior is increased in transgenic mice overexpressing IL-31, as well as in mice or dogs injected with IL-31. IL-31 impairs skin barrier integrity by affecting structural proteins like filaggrin, facilitating water loss and exposure to irritants, which perpetuates inflammation and itching.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b/>
          <w:i/>
          <w:sz w:val="20"/>
        </w:rPr>
        <w:t>Figure 5: Chronic Pruritus and Role of IL-31 in Driving Itch</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4942205" cy="3766820"/>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4942205" cy="376682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16"/>
        </w:rPr>
      </w:pPr>
      <w:r>
        <w:rPr>
          <w:rFonts w:ascii="Times New Roman" w:hAnsi="Times New Roman"/>
          <w:b/>
          <w:sz w:val="16"/>
        </w:rPr>
        <w:t xml:space="preserve">IL-31 signaling pathway affects a broad range of cells and biological functions, perpetuating an “itch-scratch” cycle through neuroinflammation and fibrosis.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IL-31 in CPUO </w:t>
      </w:r>
    </w:p>
    <w:p>
      <w:pPr>
        <w:pStyle w:val="TextBody"/>
        <w:bidi w:val="0"/>
        <w:spacing w:before="120" w:after="0"/>
        <w:jc w:val="both"/>
        <w:rPr>
          <w:rFonts w:ascii="Times New Roman" w:hAnsi="Times New Roman"/>
          <w:sz w:val="20"/>
        </w:rPr>
      </w:pPr>
      <w:r>
        <w:rPr>
          <w:rFonts w:ascii="Times New Roman" w:hAnsi="Times New Roman"/>
          <w:sz w:val="20"/>
        </w:rPr>
        <w:t xml:space="preserve">In CPUO, itch is driven by skin barrier dysfunction, immune-senescence and neurodegeneration. IL-31 is elevated in patients with CPUO compared to healthy subjects, and our clinical data indicates that inhibiting IL-31 in patients with chronic pruritus provides rapid and deep symptom relief. Based on our data, and our discussions with key opinion leaders in CPUO, we believe blocking IL-31 is the most attractive approach to treating CPUO. </w:t>
      </w:r>
    </w:p>
    <w:p>
      <w:pPr>
        <w:pStyle w:val="TextBody"/>
        <w:bidi w:val="0"/>
        <w:spacing w:before="360" w:after="0"/>
        <w:jc w:val="left"/>
        <w:rPr>
          <w:rFonts w:ascii="Times New Roman" w:hAnsi="Times New Roman"/>
          <w:b/>
          <w:i/>
          <w:sz w:val="20"/>
        </w:rPr>
      </w:pPr>
      <w:r>
        <w:rPr>
          <w:rFonts w:ascii="Times New Roman" w:hAnsi="Times New Roman"/>
          <w:b/>
          <w:i/>
          <w:sz w:val="20"/>
        </w:rPr>
        <w:t xml:space="preserve">IL-31 in High-Itch AD </w:t>
      </w:r>
    </w:p>
    <w:p>
      <w:pPr>
        <w:pStyle w:val="TextBody"/>
        <w:bidi w:val="0"/>
        <w:spacing w:before="120" w:after="0"/>
        <w:jc w:val="both"/>
        <w:rPr>
          <w:rFonts w:ascii="Times New Roman" w:hAnsi="Times New Roman"/>
          <w:sz w:val="20"/>
        </w:rPr>
      </w:pPr>
      <w:r>
        <w:rPr>
          <w:rFonts w:ascii="Times New Roman" w:hAnsi="Times New Roman"/>
          <w:sz w:val="20"/>
        </w:rPr>
        <w:t>AD pathology is closely linked to Th2 cytokines, including IL-13 and IL-31, which contribute to skin barrier dysfunction, worsen inflammation, induce pruritus and sustain a chronic disease cycle. In particular, IL-31 is a key cytokine that directly activates pruriceptive sensory neurons and is elevated in patients with AD compared to healthy subjects. The role of the IL-31 pathway in driving itch and lesions has been validated clinically through the FDA approval of nemolizumab, an anti-IL-31 receptor alpha (IL-31R</w:t>
      </w:r>
      <w:r>
        <w:rPr>
          <w:rFonts w:ascii="SYMBOL" w:hAnsi="SYMBOL"/>
          <w:sz w:val="20"/>
        </w:rPr>
        <w:t>a</w:t>
      </w:r>
      <w:r>
        <w:rPr>
          <w:rFonts w:ascii="Times New Roman" w:hAnsi="Times New Roman"/>
          <w:sz w:val="20"/>
        </w:rPr>
        <w:t xml:space="preserve">) antibody, for AD and PN. We believe that inhibiting IL-31 in patients suffering from mild-to-moderate, high-itch AD is the most attractive approach to providing relief for the patients suffering from this subtype of AD. </w:t>
      </w:r>
    </w:p>
    <w:p>
      <w:pPr>
        <w:pStyle w:val="TextBody"/>
        <w:bidi w:val="0"/>
        <w:spacing w:before="360" w:after="0"/>
        <w:jc w:val="left"/>
        <w:rPr>
          <w:rFonts w:ascii="Times New Roman" w:hAnsi="Times New Roman"/>
          <w:b/>
          <w:i/>
          <w:sz w:val="20"/>
        </w:rPr>
      </w:pPr>
      <w:r>
        <w:rPr>
          <w:rFonts w:ascii="Times New Roman" w:hAnsi="Times New Roman"/>
          <w:b/>
          <w:i/>
          <w:sz w:val="20"/>
        </w:rPr>
        <w:t xml:space="preserve">IL-31 in Other Chronic Pruritus Disease (e.g., Cholestatic Pruritus, CKD-aP) </w:t>
      </w:r>
    </w:p>
    <w:p>
      <w:pPr>
        <w:pStyle w:val="TextBody"/>
        <w:bidi w:val="0"/>
        <w:spacing w:before="120" w:after="0"/>
        <w:jc w:val="both"/>
        <w:rPr>
          <w:rFonts w:ascii="Times New Roman" w:hAnsi="Times New Roman"/>
          <w:sz w:val="20"/>
        </w:rPr>
      </w:pPr>
      <w:r>
        <w:rPr>
          <w:rFonts w:ascii="Times New Roman" w:hAnsi="Times New Roman"/>
          <w:sz w:val="20"/>
        </w:rPr>
        <w:t xml:space="preserve">In various third-party studies conducted by independent investigators, elevated serum IL-31 concentrations have been detected in patients with PBC and PSC and correlate with itch severity, independent of liver biochemistry. In a third-party Phase 3 clinical trial of seladelpar in patients with PBC, the average baseline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concentration of serum IL-31 was more than 30-fold higher than matched HVs. In that clinical trial, serum IL-31 concentrations were significantly correlated with pruritus severity at baseline, and treatment-related improvement in pruritus was also associated with dose-dependent reductions in serum IL-31 (Figure 6).3 Furthermore, recent third-party studies have provided evidence of a hepatic source of IL-31 in cholestatic liver diseases. Similarly, third-party clinical trials of an IBAT antagonist, linerixibat, in patients with PBC demonstrated that reduction of pruritus was significantly correlated with reduction of IL-31.4 Additionally, FXR agonism elevates serum IL-31, which correlates with higher itch in patients with NASH.5 Collectively, we believe these data provide strong support for a mechanistic role of IL-31 in driving itch in PBC/PSC, enabling the development of ATTO-1310 in this indication and potential utilization of resulting clinical data as a building block in our precision immunology strategy for this asset. Additionally, we believe PBC/PSC could serve as a gateway to developing ATTO-1310 in broader hepatic itch. </w:t>
      </w:r>
    </w:p>
    <w:p>
      <w:pPr>
        <w:pStyle w:val="TextBody"/>
        <w:bidi w:val="0"/>
        <w:spacing w:before="480" w:after="0"/>
        <w:jc w:val="center"/>
        <w:rPr>
          <w:rFonts w:ascii="Times New Roman" w:hAnsi="Times New Roman"/>
          <w:b/>
          <w:i/>
          <w:sz w:val="20"/>
        </w:rPr>
      </w:pPr>
      <w:r>
        <w:rPr>
          <w:rFonts w:ascii="Times New Roman" w:hAnsi="Times New Roman"/>
          <w:b/>
          <w:i/>
          <w:sz w:val="20"/>
        </w:rPr>
        <w:t xml:space="preserve">Figure 6: IL-31 Levels in Patients with PBC in the ENHANCE Trial </w:t>
      </w:r>
    </w:p>
    <w:p>
      <w:pPr>
        <w:pStyle w:val="TextBody"/>
        <w:bidi w:val="0"/>
        <w:spacing w:before="0" w:after="0"/>
        <w:jc w:val="left"/>
        <w:rPr/>
      </w:pPr>
      <w:r>
        <w:rPr/>
        <w:t> </w:t>
      </w:r>
    </w:p>
    <w:p>
      <w:pPr>
        <w:pStyle w:val="TextBody"/>
        <w:bidi w:val="0"/>
        <w:spacing w:before="0" w:after="0"/>
        <w:jc w:val="center"/>
        <w:rPr/>
      </w:pPr>
      <w:r>
        <w:rPr/>
        <w:drawing>
          <wp:inline distT="0" distB="0" distL="0" distR="0">
            <wp:extent cx="5365115" cy="2958465"/>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5365115" cy="295846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16"/>
        </w:rPr>
      </w:pPr>
      <w:r>
        <w:rPr>
          <w:rFonts w:ascii="Times New Roman" w:hAnsi="Times New Roman"/>
          <w:b/>
          <w:sz w:val="16"/>
        </w:rPr>
        <w:t xml:space="preserve">Reduction of IL-31 is associated with reduction of itch in PBC patients treated with seladelpar. </w:t>
      </w:r>
    </w:p>
    <w:p>
      <w:pPr>
        <w:pStyle w:val="TextBody"/>
        <w:bidi w:val="0"/>
        <w:spacing w:before="240" w:after="0"/>
        <w:jc w:val="both"/>
        <w:rPr>
          <w:rFonts w:ascii="Times New Roman" w:hAnsi="Times New Roman"/>
          <w:sz w:val="20"/>
        </w:rPr>
      </w:pPr>
      <w:r>
        <w:rPr>
          <w:rFonts w:ascii="Times New Roman" w:hAnsi="Times New Roman"/>
          <w:sz w:val="20"/>
        </w:rPr>
        <w:t xml:space="preserve">Separately, in patients with CKD-aP, elevated IL-31 serum concentrations have also been detected. Studies of nemolizumab and difelikefalin in CKD-aP have provided further support for targeting IL-31 in this disease. In a third-party Phase 2a (N=69) trial, hemodialysis-dependent CKD patients suffering from chronic pruritus and whose serum IL-31 levels were elevated above 0.86 pg/ml demonstrated a trend for relief of pruritus after administration of nemolizumab. Furthermore, in a third-party Phase 3 clinical trial of difelikefalin in CKD-aP patients, serum IL-31 levels were significantly reduced in responders treated with difelikefalin as compared to non-responders.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of Current Anti-Pruritic Treatments </w:t>
      </w:r>
    </w:p>
    <w:p>
      <w:pPr>
        <w:pStyle w:val="TextBody"/>
        <w:bidi w:val="0"/>
        <w:spacing w:before="120" w:after="0"/>
        <w:jc w:val="both"/>
        <w:rPr>
          <w:rFonts w:ascii="Times New Roman" w:hAnsi="Times New Roman"/>
          <w:sz w:val="20"/>
        </w:rPr>
      </w:pPr>
      <w:r>
        <w:rPr>
          <w:rFonts w:ascii="Times New Roman" w:hAnsi="Times New Roman"/>
          <w:sz w:val="20"/>
        </w:rPr>
        <w:t>Targeting IL-31 offers the potential to provide rapid relief with a favorable tolerability profile. The role of blocking the IL-31 pathway in reducing pruritus has been validated by nemolizumab (NEMLUVIO), an IL-31R</w:t>
      </w:r>
      <w:r>
        <w:rPr>
          <w:rFonts w:ascii="SYMBOL" w:hAnsi="SYMBOL"/>
          <w:sz w:val="20"/>
        </w:rPr>
        <w:t>a</w:t>
      </w:r>
      <w:r>
        <w:rPr>
          <w:rFonts w:ascii="Times New Roman" w:hAnsi="Times New Roman"/>
          <w:sz w:val="20"/>
        </w:rPr>
        <w:t xml:space="preserve"> antagonist, which received FDA approval in 2024. NEMLUVIO is approved in PN and AD and showed relief of pruritus and associated morbidities in these conditions. However, NEMLUVIO has some notable limitations: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b/>
                <w:i/>
                <w:sz w:val="20"/>
              </w:rPr>
              <w:t>Unoptimized potency</w:t>
            </w:r>
            <w:r>
              <w:rPr>
                <w:rFonts w:ascii="Times New Roman" w:hAnsi="Times New Roman"/>
                <w:b/>
                <w:sz w:val="20"/>
              </w:rPr>
              <w:t>:</w:t>
            </w:r>
            <w:r>
              <w:rPr>
                <w:rFonts w:ascii="Times New Roman" w:hAnsi="Times New Roman"/>
                <w:sz w:val="20"/>
              </w:rPr>
              <w:t xml:space="preserve"> Potency is limited by a single unique epitope on both binding regions of the molecule.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Kremer et al. Hepatology. 2023 Dec 20;80(1):27–37.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4 </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Xu et al. Hepatology. 2023 Jan 1;77(1):20-32.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5 </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Kremer et al. Hepatology. 2023 Dec 20;80(1):27–37.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b/>
                <w:i/>
                <w:sz w:val="20"/>
              </w:rPr>
              <w:t>Reverse dose-efficacy profile (high</w:t>
            </w:r>
            <w:r>
              <w:rPr>
                <w:rFonts w:ascii="Times New Roman" w:hAnsi="Times New Roman"/>
                <w:b/>
                <w:sz w:val="20"/>
              </w:rPr>
              <w:t xml:space="preserve">er doses less efficacious than lower doses): </w:t>
            </w:r>
            <w:r>
              <w:rPr>
                <w:rFonts w:ascii="Times New Roman" w:hAnsi="Times New Roman"/>
                <w:sz w:val="20"/>
              </w:rPr>
              <w:t xml:space="preserve">Nemolizumab demonstrated a reverse dose-efficacy curve in three separate populations: AD, pediatric AD and CKD-aP, resulting in a limitation of the achievable dose level. By targeting the IL-31 cytokine as opposed to the IL-31 receptor, we believe we will be able to dose ATTO-1310 at higher levels and achieve deeper pruritic relief through stronger pathway blockade. Of note, lokivetmab, an anti-IL-31 antibody used to treat AD in canines, targets the IL-31 cytokine and demonstrates linear dose-efficacy.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b/>
                <w:i/>
                <w:sz w:val="20"/>
              </w:rPr>
              <w:t>Monthly dosing schedule</w:t>
            </w:r>
            <w:r>
              <w:rPr>
                <w:rFonts w:ascii="Times New Roman" w:hAnsi="Times New Roman"/>
                <w:sz w:val="20"/>
              </w:rPr>
              <w:t xml:space="preserve"> </w:t>
            </w:r>
            <w:r>
              <w:rPr>
                <w:rFonts w:ascii="Times New Roman" w:hAnsi="Times New Roman"/>
                <w:b/>
                <w:sz w:val="20"/>
              </w:rPr>
              <w:t>(</w:t>
            </w:r>
            <w:r>
              <w:rPr>
                <w:rFonts w:ascii="Times New Roman" w:hAnsi="Times New Roman"/>
                <w:sz w:val="20"/>
              </w:rPr>
              <w:t xml:space="preserve">with the option for extending to Q2M dosing after 16 weeks if patient is well controlled in AD only): Infrequent dosing intervals, such as quarterly, are preferred by both patients and physicians for better adherence and convenience. </w:t>
            </w:r>
          </w:p>
        </w:tc>
      </w:tr>
    </w:tbl>
    <w:p>
      <w:pPr>
        <w:pStyle w:val="TextBody"/>
        <w:bidi w:val="0"/>
        <w:spacing w:before="240" w:after="0"/>
        <w:jc w:val="both"/>
        <w:rPr>
          <w:rFonts w:ascii="Times New Roman" w:hAnsi="Times New Roman"/>
          <w:sz w:val="20"/>
        </w:rPr>
      </w:pPr>
      <w:r>
        <w:rPr>
          <w:rFonts w:ascii="Times New Roman" w:hAnsi="Times New Roman"/>
          <w:sz w:val="20"/>
        </w:rPr>
        <w:t xml:space="preserve">Within our initial target disease indications for ATTO-1310, nemolizumab and dupilumab (DUPIXENT) are currently being developed in CPUO, and to our knowledge, neither have an active program in high-itch mild-to-moderate AD. In CPUO, there are no currently approved targeted treatments. In high-itch mild-to-moderate AD, existing treatments have suboptimal profiles for patients,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b/>
                <w:i/>
                <w:sz w:val="20"/>
              </w:rPr>
              <w:t>Remaining significant efficacy gap in</w:t>
            </w:r>
            <w:r>
              <w:rPr>
                <w:rFonts w:ascii="Times New Roman" w:hAnsi="Times New Roman"/>
                <w:sz w:val="20"/>
              </w:rPr>
              <w:t xml:space="preserve"> pruritic relief.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b/>
                <w:i/>
                <w:sz w:val="20"/>
              </w:rPr>
              <w:t>Inconvenient dosing,</w:t>
            </w:r>
            <w:r>
              <w:rPr>
                <w:rFonts w:ascii="Times New Roman" w:hAnsi="Times New Roman"/>
                <w:sz w:val="20"/>
              </w:rPr>
              <w:t xml:space="preserve"> requiring frequent, once- or twice-daily topical administration or once- or twice-monthly SC injection.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b/>
                <w:i/>
                <w:sz w:val="20"/>
              </w:rPr>
              <w:t>Burdensome adverse events</w:t>
            </w:r>
            <w:r>
              <w:rPr>
                <w:rFonts w:ascii="Times New Roman" w:hAnsi="Times New Roman"/>
                <w:sz w:val="20"/>
              </w:rPr>
              <w:t xml:space="preserve"> including headache, nausea and diarrhea (roflumilast), a black box warning (ruxolitinib) and conjunctivitis and facial erythema (dupilumab).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Solution: ATTO-1310 </w:t>
      </w:r>
    </w:p>
    <w:p>
      <w:pPr>
        <w:pStyle w:val="TextBody"/>
        <w:bidi w:val="0"/>
        <w:spacing w:before="120" w:after="0"/>
        <w:jc w:val="left"/>
        <w:rPr>
          <w:rFonts w:ascii="Times New Roman" w:hAnsi="Times New Roman"/>
          <w:b/>
          <w:i/>
          <w:sz w:val="20"/>
        </w:rPr>
      </w:pPr>
      <w:r>
        <w:rPr>
          <w:rFonts w:ascii="Times New Roman" w:hAnsi="Times New Roman"/>
          <w:b/>
          <w:i/>
          <w:sz w:val="20"/>
        </w:rPr>
        <w:t xml:space="preserve">Molecule Design Considerations </w:t>
      </w:r>
    </w:p>
    <w:p>
      <w:pPr>
        <w:pStyle w:val="TextBody"/>
        <w:bidi w:val="0"/>
        <w:spacing w:before="120" w:after="0"/>
        <w:jc w:val="both"/>
        <w:rPr>
          <w:rFonts w:ascii="Times New Roman" w:hAnsi="Times New Roman"/>
          <w:sz w:val="20"/>
        </w:rPr>
      </w:pPr>
      <w:r>
        <w:rPr>
          <w:rFonts w:ascii="Times New Roman" w:hAnsi="Times New Roman"/>
          <w:sz w:val="20"/>
        </w:rPr>
        <w:t>ATTO-1310 is a novel, recombinant humanized Fc fusion protein that binds to IL-31 with high affinity and potently blocks IL-31-induced signaling (Figure 7). The Fc portion of ATTO-1310 has been engineered to contain the M252Y/S254T/T256E (YTE) mutation, enhancing FcRn binding and increasing serum half-life. Unlike nemolizumab, which binds to the IL-31R</w:t>
      </w:r>
      <w:r>
        <w:rPr>
          <w:rFonts w:ascii="SYMBOL" w:hAnsi="SYMBOL"/>
          <w:sz w:val="20"/>
        </w:rPr>
        <w:t>a</w:t>
      </w:r>
      <w:r>
        <w:rPr>
          <w:rFonts w:ascii="Times New Roman" w:hAnsi="Times New Roman"/>
          <w:sz w:val="20"/>
        </w:rPr>
        <w:t xml:space="preserve">, ATTO-1310 directly targets the IL-31 ligand and achieves potent inhibition through simultaneous binding of two unique epitopes on the same molecule, offering the potential for deeper and more rapid pruritic relief. We have evaluated the tolerability, activity and developability of ATTO-1310 in a range of preclinical studies and clinical trials. </w:t>
      </w:r>
    </w:p>
    <w:p>
      <w:pPr>
        <w:pStyle w:val="TextBody"/>
        <w:bidi w:val="0"/>
        <w:spacing w:before="480" w:after="0"/>
        <w:jc w:val="center"/>
        <w:rPr>
          <w:rFonts w:ascii="Times New Roman" w:hAnsi="Times New Roman"/>
          <w:sz w:val="20"/>
        </w:rPr>
      </w:pPr>
      <w:r>
        <w:rPr>
          <w:rFonts w:ascii="Times New Roman" w:hAnsi="Times New Roman"/>
          <w:b/>
          <w:i/>
          <w:sz w:val="20"/>
        </w:rPr>
        <w:t>Figure</w:t>
      </w:r>
      <w:r>
        <w:rPr>
          <w:rFonts w:ascii="Times New Roman" w:hAnsi="Times New Roman"/>
          <w:sz w:val="20"/>
        </w:rPr>
        <w:t xml:space="preserve"> </w:t>
      </w:r>
      <w:r>
        <w:rPr>
          <w:rFonts w:ascii="Times New Roman" w:hAnsi="Times New Roman"/>
          <w:b/>
          <w:i/>
          <w:sz w:val="20"/>
        </w:rPr>
        <w:t>7:</w:t>
      </w:r>
      <w:r>
        <w:rPr>
          <w:rFonts w:ascii="Times New Roman" w:hAnsi="Times New Roman"/>
          <w:sz w:val="20"/>
        </w:rPr>
        <w:t xml:space="preserve"> </w:t>
      </w:r>
      <w:r>
        <w:rPr>
          <w:rFonts w:ascii="Times New Roman" w:hAnsi="Times New Roman"/>
          <w:b/>
          <w:i/>
          <w:sz w:val="20"/>
        </w:rPr>
        <w:t>ATTO-1310</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3238500" cy="1806575"/>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3238500" cy="18065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16"/>
        </w:rPr>
      </w:pPr>
      <w:r>
        <w:rPr>
          <w:rFonts w:ascii="Times New Roman" w:hAnsi="Times New Roman"/>
          <w:b/>
          <w:sz w:val="16"/>
        </w:rPr>
        <w:t xml:space="preserve">ATTO-1310 is composed of two anti-IL-31 ATTOBODIES fused to an Fc fragment with a YTE mutation.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ATTO-1310 Target Product Profile </w:t>
      </w:r>
    </w:p>
    <w:p>
      <w:pPr>
        <w:pStyle w:val="TextBody"/>
        <w:bidi w:val="0"/>
        <w:spacing w:before="120" w:after="0"/>
        <w:jc w:val="both"/>
        <w:rPr>
          <w:rFonts w:ascii="Times New Roman" w:hAnsi="Times New Roman"/>
          <w:sz w:val="20"/>
        </w:rPr>
      </w:pPr>
      <w:r>
        <w:rPr>
          <w:rFonts w:ascii="Times New Roman" w:hAnsi="Times New Roman"/>
          <w:sz w:val="20"/>
        </w:rPr>
        <w:t xml:space="preserve">We believe that ATTO-1310 has the potential to be a favorable treatment option for CPUO, high-itch AD, cholestatic pruritus, CKD-aP and other pruritic indications. The molecule is designed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203"/>
        <w:gridCol w:w="9291"/>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right"/>
              <w:rPr/>
            </w:pPr>
            <w:r>
              <w:rPr/>
              <w:t>1.</w:t>
            </w:r>
          </w:p>
        </w:tc>
        <w:tc>
          <w:tcPr>
            <w:tcW w:w="203"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b/>
                <w:sz w:val="20"/>
              </w:rPr>
              <w:t>Deep anti-pruritic responses</w:t>
            </w:r>
            <w:r>
              <w:rPr>
                <w:rFonts w:ascii="Times New Roman" w:hAnsi="Times New Roman"/>
                <w:sz w:val="20"/>
              </w:rPr>
              <w:t xml:space="preserve"> due to the high potency of target inhibition offered by the ATTOBODY format and the potential to drive higher therapeutic exposure by avoiding the reverse dose-efficacy effect observed for targeting IL-31R</w:t>
            </w:r>
            <w:r>
              <w:rPr>
                <w:rFonts w:ascii="SYMBOL" w:hAnsi="SYMBOL"/>
                <w:sz w:val="20"/>
              </w:rPr>
              <w:t>a</w:t>
            </w:r>
            <w:r>
              <w:rPr>
                <w:rFonts w:ascii="Times New Roman" w:hAnsi="Times New Roman"/>
                <w:sz w:val="20"/>
              </w:rPr>
              <w:t xml:space="preserve">. ATTO-1310’s potential to offer rapid, deep itch relief is supported by our initial Phase 1b clinical trial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203"/>
        <w:gridCol w:w="9290"/>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2.</w:t>
            </w:r>
          </w:p>
        </w:tc>
        <w:tc>
          <w:tcPr>
            <w:tcW w:w="203"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b/>
                <w:sz w:val="20"/>
              </w:rPr>
              <w:t>Fast pruritic relief</w:t>
            </w:r>
            <w:r>
              <w:rPr>
                <w:rFonts w:ascii="Times New Roman" w:hAnsi="Times New Roman"/>
                <w:sz w:val="20"/>
              </w:rPr>
              <w:t xml:space="preserve">, based on the speed of antipruritic effect observed in canines dosed with lokivetmab (anti-IL-31) and initial clinical trial results of ATTO-1310.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202"/>
        <w:gridCol w:w="92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3.</w:t>
            </w:r>
          </w:p>
        </w:tc>
        <w:tc>
          <w:tcPr>
            <w:tcW w:w="202" w:type="dxa"/>
            <w:tcBorders/>
          </w:tcPr>
          <w:p>
            <w:pPr>
              <w:pStyle w:val="TableContents"/>
              <w:bidi w:val="0"/>
              <w:spacing w:before="0" w:after="283"/>
              <w:jc w:val="left"/>
              <w:rPr/>
            </w:pPr>
            <w:r>
              <w:rPr/>
              <w:t> </w:t>
            </w:r>
          </w:p>
        </w:tc>
        <w:tc>
          <w:tcPr>
            <w:tcW w:w="9292" w:type="dxa"/>
            <w:tcBorders/>
          </w:tcPr>
          <w:p>
            <w:pPr>
              <w:pStyle w:val="TableContents"/>
              <w:bidi w:val="0"/>
              <w:spacing w:before="0" w:after="0"/>
              <w:jc w:val="both"/>
              <w:rPr>
                <w:rFonts w:ascii="Times New Roman" w:hAnsi="Times New Roman"/>
                <w:sz w:val="20"/>
              </w:rPr>
            </w:pPr>
            <w:r>
              <w:rPr>
                <w:rFonts w:ascii="Times New Roman" w:hAnsi="Times New Roman"/>
                <w:b/>
                <w:sz w:val="20"/>
              </w:rPr>
              <w:t>Favorable tolerability profile</w:t>
            </w:r>
            <w:r>
              <w:rPr>
                <w:rFonts w:ascii="Times New Roman" w:hAnsi="Times New Roman"/>
                <w:sz w:val="20"/>
              </w:rPr>
              <w:t>, based on a robust body of clinical evidence available for nemolizumab (anti-IL-31R</w:t>
            </w:r>
            <w:r>
              <w:rPr>
                <w:rFonts w:ascii="SYMBOL" w:hAnsi="SYMBOL"/>
                <w:sz w:val="20"/>
              </w:rPr>
              <w:t>a</w:t>
            </w:r>
            <w:r>
              <w:rPr>
                <w:rFonts w:ascii="Times New Roman" w:hAnsi="Times New Roman"/>
                <w:sz w:val="20"/>
              </w:rPr>
              <w:t xml:space="preserve">) and initial clinical trial results of ATTO-1310.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203"/>
        <w:gridCol w:w="9291"/>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right"/>
              <w:rPr/>
            </w:pPr>
            <w:r>
              <w:rPr/>
              <w:t>4.</w:t>
            </w:r>
          </w:p>
        </w:tc>
        <w:tc>
          <w:tcPr>
            <w:tcW w:w="203"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b/>
                <w:sz w:val="20"/>
              </w:rPr>
              <w:t>Up to quarterly maintenance SC dosing</w:t>
            </w:r>
            <w:r>
              <w:rPr>
                <w:rFonts w:ascii="Times New Roman" w:hAnsi="Times New Roman"/>
                <w:sz w:val="20"/>
              </w:rPr>
              <w:t xml:space="preserve"> for patient convenience, supported by our ongoing Phase 1 clinical trial results. </w:t>
            </w:r>
          </w:p>
        </w:tc>
      </w:tr>
    </w:tbl>
    <w:p>
      <w:pPr>
        <w:pStyle w:val="TextBody"/>
        <w:bidi w:val="0"/>
        <w:spacing w:before="240" w:after="0"/>
        <w:jc w:val="both"/>
        <w:rPr>
          <w:rFonts w:ascii="Times New Roman" w:hAnsi="Times New Roman"/>
          <w:sz w:val="20"/>
        </w:rPr>
      </w:pPr>
      <w:r>
        <w:rPr>
          <w:rFonts w:ascii="Times New Roman" w:hAnsi="Times New Roman"/>
          <w:sz w:val="20"/>
        </w:rPr>
        <w:t xml:space="preserve">To assess the peak U.S. sales potential for ATTO-1310 in our target indications, we commissioned a series of primary and secondary market research projects carried out by a third party. Based on the results of these projects, the base case for peak U.S. sales potential for ATTO-1310, if approved, was estimated at over $11 billion across CPUO, high-itch AD, cholestatic pruritus and CKD-aP, with an upside forecast reaching over $22 billion. </w:t>
      </w:r>
    </w:p>
    <w:p>
      <w:pPr>
        <w:pStyle w:val="TextBody"/>
        <w:bidi w:val="0"/>
        <w:spacing w:before="240" w:after="0"/>
        <w:jc w:val="center"/>
        <w:rPr>
          <w:rFonts w:ascii="Times New Roman" w:hAnsi="Times New Roman"/>
          <w:b/>
          <w:i/>
          <w:sz w:val="20"/>
        </w:rPr>
      </w:pPr>
      <w:r>
        <w:rPr>
          <w:rFonts w:ascii="Times New Roman" w:hAnsi="Times New Roman"/>
          <w:b/>
          <w:i/>
          <w:sz w:val="20"/>
        </w:rPr>
        <w:t xml:space="preserve">Figure 8: ATTO-1310 Peak U.S. Sales Potential </w:t>
      </w:r>
    </w:p>
    <w:p>
      <w:pPr>
        <w:pStyle w:val="TextBody"/>
        <w:bidi w:val="0"/>
        <w:spacing w:before="0" w:after="0"/>
        <w:jc w:val="left"/>
        <w:rPr/>
      </w:pPr>
      <w:r>
        <w:rPr/>
        <w:t> </w:t>
      </w:r>
    </w:p>
    <w:p>
      <w:pPr>
        <w:pStyle w:val="TextBody"/>
        <w:bidi w:val="0"/>
        <w:spacing w:before="0" w:after="0"/>
        <w:jc w:val="center"/>
        <w:rPr/>
      </w:pPr>
      <w:r>
        <w:rPr/>
        <w:drawing>
          <wp:inline distT="0" distB="0" distL="0" distR="0">
            <wp:extent cx="5359400" cy="3703955"/>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5359400" cy="370395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16"/>
        </w:rPr>
      </w:pPr>
      <w:r>
        <w:rPr>
          <w:rFonts w:ascii="Times New Roman" w:hAnsi="Times New Roman"/>
          <w:b/>
          <w:sz w:val="16"/>
        </w:rPr>
        <w:t xml:space="preserve">Base case forecast for ATTO-1310 offers over $11 billion peak U.S. sales potential.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Preclinical Studies of ATTO-1310 </w:t>
      </w:r>
    </w:p>
    <w:p>
      <w:pPr>
        <w:pStyle w:val="TextBody"/>
        <w:bidi w:val="0"/>
        <w:spacing w:before="120" w:after="0"/>
        <w:jc w:val="left"/>
        <w:rPr>
          <w:rFonts w:ascii="Times New Roman" w:hAnsi="Times New Roman"/>
          <w:b/>
          <w:i/>
          <w:sz w:val="20"/>
        </w:rPr>
      </w:pPr>
      <w:r>
        <w:rPr>
          <w:rFonts w:ascii="Times New Roman" w:hAnsi="Times New Roman"/>
          <w:b/>
          <w:i/>
          <w:sz w:val="20"/>
        </w:rPr>
        <w:t xml:space="preserve">Activity of ATTO-1310 in Inhibiting Pruritus in Preclinical Models </w:t>
      </w:r>
    </w:p>
    <w:p>
      <w:pPr>
        <w:pStyle w:val="TextBody"/>
        <w:bidi w:val="0"/>
        <w:spacing w:before="120" w:after="0"/>
        <w:jc w:val="both"/>
        <w:rPr>
          <w:rFonts w:ascii="Times New Roman" w:hAnsi="Times New Roman"/>
          <w:sz w:val="20"/>
        </w:rPr>
      </w:pPr>
      <w:r>
        <w:rPr>
          <w:rFonts w:ascii="Times New Roman" w:hAnsi="Times New Roman"/>
          <w:sz w:val="20"/>
        </w:rPr>
        <w:t xml:space="preserve">We tested the ability of ATTO-1310 to prevent IL-31-induced pruritus in two animal models. In a mouse model, ATTO-1310 reduced IL-31-induced pruritus at concentrations ranging from 1 mg/kg to 3 mg/kg. Additionally, in a NHP model of pruritus, we tested the duration of ATTO-1310-mediated protection from IL-31-induced itch. To establish a baseline, we injected NHPs with 1 mg/kg of IL-31 and saw evidence of pruritic induction, as measured by scratching activity. Ten days later, on day 0 of the experiment, we injected NHPs with 0.5 mg/kg, 1 mg/kg or 5 mg/kg of ATTO-1310. On days 1, 8, 15, and 22 after the ATTO-1310 injection, we repeated the IL-31 challenge and measured the scratching response. We saw a reduction in scratching events through approximately 15 to 20 days post-ATTO-1310 injection at the 1 mg/kg and 5 mg/kg doses, suggesting durable anti-pruritic activity of ATTO-1310. </w:t>
      </w:r>
    </w:p>
    <w:p>
      <w:pPr>
        <w:pStyle w:val="TextBody"/>
        <w:bidi w:val="0"/>
        <w:spacing w:before="240" w:after="0"/>
        <w:jc w:val="left"/>
        <w:rPr>
          <w:rFonts w:ascii="Times New Roman" w:hAnsi="Times New Roman"/>
          <w:b/>
          <w:i/>
          <w:sz w:val="20"/>
        </w:rPr>
      </w:pPr>
      <w:r>
        <w:rPr>
          <w:rFonts w:ascii="Times New Roman" w:hAnsi="Times New Roman"/>
          <w:b/>
          <w:i/>
          <w:sz w:val="20"/>
        </w:rPr>
        <w:t xml:space="preserve">Tolerability of ATTO-1310 in NHP Studies </w:t>
      </w:r>
    </w:p>
    <w:p>
      <w:pPr>
        <w:pStyle w:val="TextBody"/>
        <w:bidi w:val="0"/>
        <w:spacing w:before="120" w:after="0"/>
        <w:jc w:val="both"/>
        <w:rPr>
          <w:rFonts w:ascii="Times New Roman" w:hAnsi="Times New Roman"/>
          <w:sz w:val="20"/>
        </w:rPr>
      </w:pPr>
      <w:r>
        <w:rPr>
          <w:rFonts w:ascii="Times New Roman" w:hAnsi="Times New Roman"/>
          <w:sz w:val="20"/>
        </w:rPr>
        <w:t xml:space="preserve">To enable human studies of ATTO-1310, we carried out a GLP toxicology study in NHPs. Animals were administered doses of ATTO-1310 between 2 mg/kg and 24 mg/kg for intravenous (IV) delivery and between 2 mg/kg and 8 mg/kg for SC delivery. Following the last dose, a subset of animals underwent an eight-week recovery phase. In a series of standard safety assessments including clinical observations, gross pathology, histopathology and others, we determined that the highest dose tested was tolerated providing for what we believe will be a large safety margin for our planned Phase 1 clinical trial. </w:t>
      </w:r>
    </w:p>
    <w:p>
      <w:pPr>
        <w:pStyle w:val="TextBody"/>
        <w:bidi w:val="0"/>
        <w:spacing w:before="360" w:after="0"/>
        <w:jc w:val="left"/>
        <w:rPr>
          <w:rFonts w:ascii="Times New Roman" w:hAnsi="Times New Roman"/>
          <w:b/>
          <w:sz w:val="20"/>
        </w:rPr>
      </w:pPr>
      <w:r>
        <w:rPr>
          <w:rFonts w:ascii="Times New Roman" w:hAnsi="Times New Roman"/>
          <w:b/>
          <w:sz w:val="20"/>
        </w:rPr>
        <w:t xml:space="preserve">Clinical Development of ATTO-1310 </w:t>
      </w:r>
    </w:p>
    <w:p>
      <w:pPr>
        <w:pStyle w:val="TextBody"/>
        <w:bidi w:val="0"/>
        <w:spacing w:before="120" w:after="0"/>
        <w:jc w:val="left"/>
        <w:rPr>
          <w:rFonts w:ascii="Times New Roman" w:hAnsi="Times New Roman"/>
          <w:b/>
          <w:i/>
          <w:sz w:val="20"/>
        </w:rPr>
      </w:pPr>
      <w:r>
        <w:rPr>
          <w:rFonts w:ascii="Times New Roman" w:hAnsi="Times New Roman"/>
          <w:b/>
          <w:i/>
          <w:sz w:val="20"/>
        </w:rPr>
        <w:t xml:space="preserve">Phase 1 Clinical Trial </w:t>
      </w:r>
    </w:p>
    <w:p>
      <w:pPr>
        <w:pStyle w:val="TextBody"/>
        <w:bidi w:val="0"/>
        <w:spacing w:before="120" w:after="0"/>
        <w:jc w:val="both"/>
        <w:rPr>
          <w:rFonts w:ascii="Times New Roman" w:hAnsi="Times New Roman"/>
          <w:sz w:val="20"/>
        </w:rPr>
      </w:pPr>
      <w:r>
        <w:rPr>
          <w:rFonts w:ascii="Times New Roman" w:hAnsi="Times New Roman"/>
          <w:sz w:val="20"/>
        </w:rPr>
        <w:t xml:space="preserve">ATTO-1310 is currently being evaluated in a four-part, randomized, double-blinded, placebo-controlled Phase 1 clinical trial (Figure 9). Parts 1 and 2 of the trial, evaluating the tolerability, PK and immunogenicity of ATTO-1310 in HVs, have now been completed. Parts 3 and 4 of the trial, evaluating the tolerability, PK, immunogenicity, PD, and efficacy of ATTO-1310 in patients suffering from high-itch AD or chronic pruritus are currently ongoing. </w:t>
      </w:r>
    </w:p>
    <w:p>
      <w:pPr>
        <w:pStyle w:val="TextBody"/>
        <w:bidi w:val="0"/>
        <w:spacing w:before="360" w:after="0"/>
        <w:jc w:val="center"/>
        <w:rPr>
          <w:rFonts w:ascii="Times New Roman" w:hAnsi="Times New Roman"/>
          <w:b/>
          <w:i/>
          <w:sz w:val="20"/>
        </w:rPr>
      </w:pPr>
      <w:r>
        <w:rPr>
          <w:rFonts w:ascii="Times New Roman" w:hAnsi="Times New Roman"/>
          <w:b/>
          <w:i/>
          <w:sz w:val="20"/>
        </w:rPr>
        <w:t xml:space="preserve">Figure 9: ATTO-1310 Phase 1 Clinical Trial Design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2945" cy="3059430"/>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5782945" cy="3059430"/>
                    </a:xfrm>
                    <a:prstGeom prst="rect">
                      <a:avLst/>
                    </a:prstGeom>
                  </pic:spPr>
                </pic:pic>
              </a:graphicData>
            </a:graphic>
          </wp:inline>
        </w:drawing>
      </w:r>
      <w:r>
        <w:rPr/>
        <w:t xml:space="preserve"> </w:t>
      </w:r>
    </w:p>
    <w:p>
      <w:pPr>
        <w:pStyle w:val="TextBody"/>
        <w:bidi w:val="0"/>
        <w:spacing w:before="180" w:after="0"/>
        <w:jc w:val="center"/>
        <w:rPr>
          <w:rFonts w:ascii="Times New Roman" w:hAnsi="Times New Roman"/>
          <w:b/>
          <w:sz w:val="16"/>
        </w:rPr>
      </w:pPr>
      <w:r>
        <w:rPr>
          <w:rFonts w:ascii="Times New Roman" w:hAnsi="Times New Roman"/>
          <w:b/>
          <w:sz w:val="16"/>
        </w:rPr>
        <w:t xml:space="preserve">ATTO-1310 Phase 1 clinical trial designed in four parts: Part 1 is a HV SAD study, Part 2 is a HV MAD study, Part 3 is being conducted in patients with high-itch AD and Part 4 is being conducted in patients with CP.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Phase 1 Healthy Volunteer SAD and MAD (Parts 1 and 2) Design </w:t>
      </w:r>
    </w:p>
    <w:p>
      <w:pPr>
        <w:pStyle w:val="TextBody"/>
        <w:bidi w:val="0"/>
        <w:spacing w:before="120" w:after="0"/>
        <w:jc w:val="both"/>
        <w:rPr>
          <w:rFonts w:ascii="Times New Roman" w:hAnsi="Times New Roman"/>
          <w:sz w:val="20"/>
        </w:rPr>
      </w:pPr>
      <w:r>
        <w:rPr>
          <w:rFonts w:ascii="Times New Roman" w:hAnsi="Times New Roman"/>
          <w:sz w:val="20"/>
        </w:rPr>
        <w:t xml:space="preserve">In total, 56 HVs were enrolled in Parts 1 and 2 of the Phase 1 clinical trial. Demographically, subjects were predominantly white (93%), female (59%) and middle-aged (mean age of 38 years). </w:t>
      </w:r>
    </w:p>
    <w:p>
      <w:pPr>
        <w:pStyle w:val="TextBody"/>
        <w:bidi w:val="0"/>
        <w:spacing w:before="240" w:after="0"/>
        <w:jc w:val="both"/>
        <w:rPr>
          <w:rFonts w:ascii="Times New Roman" w:hAnsi="Times New Roman"/>
          <w:sz w:val="20"/>
        </w:rPr>
      </w:pPr>
      <w:r>
        <w:rPr>
          <w:rFonts w:ascii="Times New Roman" w:hAnsi="Times New Roman"/>
          <w:sz w:val="20"/>
        </w:rPr>
        <w:t xml:space="preserve">In Part 1, 40 HVs were randomized to ATTO-1310 or placebo at a 3:1 ratio and received a single dose of ATTO-1310 delivered either IV (N=32) at one of four ascending dosing levels, with the highest dose being 9.0 mg/kg, or SC (N=8) at 1.5 mg/kg. Primary endpoints included the frequency and severity of adverse events (AEs). Secondary endpoints included PK, immunogenicity and bioavailability of ATTO-1310. Exploratory endpoints included changes from baseline in total and free IL-31. </w:t>
      </w:r>
    </w:p>
    <w:p>
      <w:pPr>
        <w:pStyle w:val="TextBody"/>
        <w:bidi w:val="0"/>
        <w:spacing w:before="240" w:after="0"/>
        <w:jc w:val="both"/>
        <w:rPr>
          <w:rFonts w:ascii="Times New Roman" w:hAnsi="Times New Roman"/>
          <w:sz w:val="20"/>
        </w:rPr>
      </w:pPr>
      <w:r>
        <w:rPr>
          <w:rFonts w:ascii="Times New Roman" w:hAnsi="Times New Roman"/>
          <w:sz w:val="20"/>
        </w:rPr>
        <w:t xml:space="preserve">In Part 2, 16 HVs were randomized to ATTO-1310 or placebo at a 3:1 ratio and received two doses of ATTO-1310 delivered SC at 1.5 mg/kg or 4.5 mg/kg on days 1 and 29 of the trial.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Preliminary Tolerability Results </w:t>
      </w:r>
    </w:p>
    <w:p>
      <w:pPr>
        <w:pStyle w:val="TextBody"/>
        <w:bidi w:val="0"/>
        <w:spacing w:before="120" w:after="0"/>
        <w:jc w:val="both"/>
        <w:rPr>
          <w:rFonts w:ascii="Times New Roman" w:hAnsi="Times New Roman"/>
          <w:sz w:val="20"/>
        </w:rPr>
      </w:pPr>
      <w:r>
        <w:rPr>
          <w:rFonts w:ascii="Times New Roman" w:hAnsi="Times New Roman"/>
          <w:sz w:val="20"/>
        </w:rPr>
        <w:t xml:space="preserve">As summarized in Figure 10 below, ATTO-1310 was well tolerated. Treatment emergent adverse events (TEAEs) were reported by 26 subjects across the SAD and MAD cohorts. The majority of TEAEs were either Grade 1 (mild) or Grade 2 (moderate) in severity. There was no increase in the frequency of TEAEs with increasing dose. The only Grade 3 (severe) AE reported was fainting (vasovagal syncope), which occurred in connection with a blood draw in the placebo cohort, and was not considered related to study treatment. Among 24 HVs who have received SC injections (18 ATTO-1310, 6 placebo), no injection site reactions were reported. No clinically relevant trends were observed in laboratory analyses, vital signs or electrocardiogram. </w:t>
      </w:r>
    </w:p>
    <w:p>
      <w:pPr>
        <w:pStyle w:val="TextBody"/>
        <w:bidi w:val="0"/>
        <w:spacing w:before="480" w:after="0"/>
        <w:jc w:val="center"/>
        <w:rPr>
          <w:rFonts w:ascii="Times New Roman" w:hAnsi="Times New Roman"/>
          <w:b/>
          <w:i/>
          <w:sz w:val="20"/>
        </w:rPr>
      </w:pPr>
      <w:r>
        <w:rPr>
          <w:rFonts w:ascii="Times New Roman" w:hAnsi="Times New Roman"/>
          <w:b/>
          <w:i/>
          <w:sz w:val="20"/>
        </w:rPr>
        <w:t xml:space="preserve">Figure 10: Summary of TEAEs in HV SAD and MAD Portions of ATTO-1310 Phase 1 Clinical Trial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1963420"/>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5765800" cy="196342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16"/>
        </w:rPr>
      </w:pPr>
      <w:r>
        <w:rPr>
          <w:rFonts w:ascii="Times New Roman" w:hAnsi="Times New Roman"/>
          <w:b/>
          <w:sz w:val="16"/>
        </w:rPr>
        <w:t xml:space="preserve">ATTO-1310 has demonstrated a favorable tolerability profile in HVs. Notes: a. Syncope, not treatment related; b. Flushing, nausea, headache, nasal congestion, abdominal discomfort, feeling cold (all Grade 1), possibly related; c. Allergic reaction to excipient (Grade 1), possibly related; d. Pyrexia, Grade 1. </w:t>
      </w:r>
    </w:p>
    <w:p>
      <w:pPr>
        <w:pStyle w:val="TextBody"/>
        <w:bidi w:val="0"/>
        <w:spacing w:before="240" w:after="0"/>
        <w:jc w:val="both"/>
        <w:rPr>
          <w:rFonts w:ascii="Times New Roman" w:hAnsi="Times New Roman"/>
          <w:sz w:val="20"/>
        </w:rPr>
      </w:pPr>
      <w:r>
        <w:rPr>
          <w:rFonts w:ascii="Times New Roman" w:hAnsi="Times New Roman"/>
          <w:sz w:val="20"/>
        </w:rPr>
        <w:t xml:space="preserve">As summarized in Figure 11 below, among TEAEs with frequency 3% or higher among tested subjects, the most common AEs included headache and nausea. Of note, no treatment-related TEAEs were identified at the highest tested dose level, 9.0 mg/kg IV.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i/>
          <w:sz w:val="20"/>
        </w:rPr>
      </w:pPr>
      <w:r>
        <w:rPr>
          <w:rFonts w:ascii="Times New Roman" w:hAnsi="Times New Roman"/>
          <w:b/>
          <w:i/>
          <w:sz w:val="20"/>
        </w:rPr>
        <w:t xml:space="preserve">Figure 11: Common and Treatment-Related TEAEs in HV SAD and MAD Portions of ATTO-1310 </w:t>
      </w:r>
    </w:p>
    <w:p>
      <w:pPr>
        <w:pStyle w:val="TextBody"/>
        <w:bidi w:val="0"/>
        <w:spacing w:before="0" w:after="0"/>
        <w:jc w:val="center"/>
        <w:rPr>
          <w:rFonts w:ascii="Times New Roman" w:hAnsi="Times New Roman"/>
          <w:b/>
          <w:i/>
          <w:sz w:val="20"/>
        </w:rPr>
      </w:pPr>
      <w:r>
        <w:rPr>
          <w:rFonts w:ascii="Times New Roman" w:hAnsi="Times New Roman"/>
          <w:b/>
          <w:i/>
          <w:sz w:val="20"/>
        </w:rPr>
        <w:t xml:space="preserve">Phase 1 Clinical Trial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2150" cy="2332355"/>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5772150" cy="2332355"/>
                    </a:xfrm>
                    <a:prstGeom prst="rect">
                      <a:avLst/>
                    </a:prstGeom>
                  </pic:spPr>
                </pic:pic>
              </a:graphicData>
            </a:graphic>
          </wp:inline>
        </w:drawing>
      </w:r>
      <w:r>
        <w:rPr/>
        <w:t xml:space="preserv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MedDRA preferred terms assigned to infusion-related reaction </w:t>
            </w:r>
          </w:p>
        </w:tc>
      </w:tr>
    </w:tbl>
    <w:p>
      <w:pPr>
        <w:pStyle w:val="TextBody"/>
        <w:bidi w:val="0"/>
        <w:spacing w:before="240" w:after="0"/>
        <w:jc w:val="center"/>
        <w:rPr>
          <w:rFonts w:ascii="Times New Roman" w:hAnsi="Times New Roman"/>
          <w:b/>
          <w:sz w:val="16"/>
        </w:rPr>
      </w:pPr>
      <w:r>
        <w:rPr>
          <w:rFonts w:ascii="Times New Roman" w:hAnsi="Times New Roman"/>
          <w:b/>
          <w:sz w:val="16"/>
        </w:rPr>
        <w:t xml:space="preserve">Few TEAEs emerged in Phase 1 SAD and MAD studies of ATTO-1310 Phase 1 clinical trial (left) and no treatment-related TEAEs were identified in the highest (9.0 mg/kg) dose cohort (right).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Preliminary PK Results </w:t>
      </w:r>
    </w:p>
    <w:p>
      <w:pPr>
        <w:pStyle w:val="TextBody"/>
        <w:bidi w:val="0"/>
        <w:spacing w:before="120" w:after="0"/>
        <w:jc w:val="both"/>
        <w:rPr>
          <w:rFonts w:ascii="Times New Roman" w:hAnsi="Times New Roman"/>
          <w:sz w:val="20"/>
        </w:rPr>
      </w:pPr>
      <w:r>
        <w:rPr>
          <w:rFonts w:ascii="Times New Roman" w:hAnsi="Times New Roman"/>
          <w:sz w:val="20"/>
        </w:rPr>
        <w:t xml:space="preserve">ATTO-1310 showed a generally dose-proportional increase in maximum serum concentration (Cmax) and total drug exposure over time (area under the curve, AUC) over the tested dose range, and good bioavailability after SC dosing (Figures 12 and 13).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i/>
          <w:sz w:val="20"/>
        </w:rPr>
      </w:pPr>
      <w:r>
        <w:rPr>
          <w:rFonts w:ascii="Times New Roman" w:hAnsi="Times New Roman"/>
          <w:b/>
          <w:i/>
          <w:sz w:val="20"/>
        </w:rPr>
        <w:t xml:space="preserve">Figure 12: Mean Serum ATTO-1310 Following IV Administration in HV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7230" cy="3875405"/>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5777230" cy="387540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16"/>
        </w:rPr>
      </w:pPr>
      <w:r>
        <w:rPr>
          <w:rFonts w:ascii="Times New Roman" w:hAnsi="Times New Roman"/>
          <w:b/>
          <w:sz w:val="16"/>
        </w:rPr>
        <w:t xml:space="preserve">ATTO-1310 showed a generally dose-proportional increase in Cmax and total drug exposure over time following IV administration.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i/>
          <w:sz w:val="20"/>
        </w:rPr>
      </w:pPr>
      <w:r>
        <w:rPr>
          <w:rFonts w:ascii="Times New Roman" w:hAnsi="Times New Roman"/>
          <w:b/>
          <w:i/>
          <w:sz w:val="20"/>
        </w:rPr>
        <w:t xml:space="preserve">Figure 13: Mean Serum ATTO-1310 Following SC Administration in HV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3420" cy="3877945"/>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5773420" cy="387794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16"/>
        </w:rPr>
      </w:pPr>
      <w:r>
        <w:rPr>
          <w:rFonts w:ascii="Times New Roman" w:hAnsi="Times New Roman"/>
          <w:b/>
          <w:sz w:val="16"/>
        </w:rPr>
        <w:t xml:space="preserve">ATTO-1310 showed a generally dose-proportional increase in Cmax and total drug exposure over time, and good bioavailability following SC administration.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Immunogenicity Results </w:t>
      </w:r>
    </w:p>
    <w:p>
      <w:pPr>
        <w:pStyle w:val="TextBody"/>
        <w:bidi w:val="0"/>
        <w:spacing w:before="120" w:after="0"/>
        <w:jc w:val="both"/>
        <w:rPr>
          <w:rFonts w:ascii="Times New Roman" w:hAnsi="Times New Roman"/>
          <w:sz w:val="20"/>
        </w:rPr>
      </w:pPr>
      <w:r>
        <w:rPr>
          <w:rFonts w:ascii="Times New Roman" w:hAnsi="Times New Roman"/>
          <w:sz w:val="20"/>
        </w:rPr>
        <w:t xml:space="preserve">Of the 42 subjects treated with active treatment in Parts 1 and 2, only two subjects developed low-titer anti-drug antibodies (ADAs) post-treatment. No neutralizing or PK-altering ADAs were observed.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PD Results </w:t>
      </w:r>
    </w:p>
    <w:p>
      <w:pPr>
        <w:pStyle w:val="TextBody"/>
        <w:bidi w:val="0"/>
        <w:spacing w:before="120" w:after="0"/>
        <w:jc w:val="both"/>
        <w:rPr>
          <w:rFonts w:ascii="Times New Roman" w:hAnsi="Times New Roman"/>
          <w:sz w:val="20"/>
        </w:rPr>
      </w:pPr>
      <w:r>
        <w:rPr>
          <w:rFonts w:ascii="Times New Roman" w:hAnsi="Times New Roman"/>
          <w:sz w:val="20"/>
        </w:rPr>
        <w:t xml:space="preserve">To better understand the potential for a cross-indication clinical development strategy, we carried out several studies to explore the feasibility of using IL-31 as a biomarker, as well as to observe the trends in serum IL-31 levels following administration of ATTO-1310. </w:t>
      </w:r>
    </w:p>
    <w:p>
      <w:pPr>
        <w:pStyle w:val="TextBody"/>
        <w:bidi w:val="0"/>
        <w:spacing w:before="360" w:after="0"/>
        <w:jc w:val="left"/>
        <w:rPr>
          <w:rFonts w:ascii="Times New Roman" w:hAnsi="Times New Roman"/>
          <w:b/>
          <w:i/>
          <w:sz w:val="20"/>
        </w:rPr>
      </w:pPr>
      <w:r>
        <w:rPr>
          <w:rFonts w:ascii="Times New Roman" w:hAnsi="Times New Roman"/>
          <w:b/>
          <w:i/>
          <w:sz w:val="20"/>
        </w:rPr>
        <w:t xml:space="preserve">IL-31 Levels in Healthy Volunteer and Patient Samples </w:t>
      </w:r>
    </w:p>
    <w:p>
      <w:pPr>
        <w:pStyle w:val="TextBody"/>
        <w:bidi w:val="0"/>
        <w:spacing w:before="120" w:after="0"/>
        <w:jc w:val="both"/>
        <w:rPr>
          <w:rFonts w:ascii="Times New Roman" w:hAnsi="Times New Roman"/>
          <w:sz w:val="20"/>
        </w:rPr>
      </w:pPr>
      <w:r>
        <w:rPr>
          <w:rFonts w:ascii="Times New Roman" w:hAnsi="Times New Roman"/>
          <w:sz w:val="20"/>
        </w:rPr>
        <w:t xml:space="preserve">Using a proprietary, ultra-sensitive assay, we measured the levels of IL-31 in pre-dose serum samples from the HVs participating in the Phase 1 clinical trial of ATTO-1310, as well as in HV, CPUO patient and AD patient samples obtained from two independent academic centers. We observed low levels of IL-31 in all HV samples. In serum from patients suffering from CPUO or AD we found IL-31 levels to be elevated compared to the normal HV samples (Figure 13). These data confirmed that IL-31 is elevated in serum of patients suffering from pruritus, and that our assay offers sufficient sensitivity to measure serum IL-31 levels in HVs and patients, as well as being able to differentiate between these two populations.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i/>
          <w:sz w:val="20"/>
        </w:rPr>
      </w:pPr>
      <w:r>
        <w:rPr>
          <w:rFonts w:ascii="Times New Roman" w:hAnsi="Times New Roman"/>
          <w:b/>
          <w:i/>
          <w:sz w:val="20"/>
        </w:rPr>
        <w:t xml:space="preserve">Figure 14: Serum IL-31 Levels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5960" cy="3668395"/>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5775960" cy="366839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16"/>
        </w:rPr>
      </w:pPr>
      <w:r>
        <w:rPr>
          <w:rFonts w:ascii="Times New Roman" w:hAnsi="Times New Roman"/>
          <w:b/>
          <w:sz w:val="16"/>
        </w:rPr>
        <w:t xml:space="preserve">IL-31 serum levels are elevated in CPUO and AD patient samples compared to HV samples.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Impact of ATTO-1310 on IL-31 Target Engagement </w:t>
      </w:r>
    </w:p>
    <w:p>
      <w:pPr>
        <w:pStyle w:val="TextBody"/>
        <w:bidi w:val="0"/>
        <w:spacing w:before="120" w:after="0"/>
        <w:jc w:val="both"/>
        <w:rPr>
          <w:rFonts w:ascii="Times New Roman" w:hAnsi="Times New Roman"/>
          <w:sz w:val="20"/>
        </w:rPr>
      </w:pPr>
      <w:r>
        <w:rPr>
          <w:rFonts w:ascii="Times New Roman" w:hAnsi="Times New Roman"/>
          <w:sz w:val="20"/>
        </w:rPr>
        <w:t xml:space="preserve">We tested free and total serum IL-31 levels in HVs dosed in the SAD and MAD portions of our Phase 1 clinical trial, with samples obtained pre-dose of ATTO-1310, and at various intervals extending up to 112 days post-dose. We then calculated percent free IL-31 as the ratio of free to total as a measure of IL-31 target engagement. Across all dose groups, percent free IL-31 rapidly dropped by greater than 95% and was sustained for 12 weeks at doses of 4.5 mg/kg or higher. A dose-dependent pattern in the extent and duration of free IL-31 reduction was observed, as shown in Figure 15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i/>
          <w:sz w:val="20"/>
        </w:rPr>
      </w:pPr>
      <w:r>
        <w:rPr>
          <w:rFonts w:ascii="Times New Roman" w:hAnsi="Times New Roman"/>
          <w:b/>
          <w:i/>
          <w:sz w:val="20"/>
        </w:rPr>
        <w:t xml:space="preserve">Figure 15: Percent Free IL-31 in ATTO-1310 HV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2462530"/>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8"/>
                    <a:stretch>
                      <a:fillRect/>
                    </a:stretch>
                  </pic:blipFill>
                  <pic:spPr bwMode="auto">
                    <a:xfrm>
                      <a:off x="0" y="0"/>
                      <a:ext cx="5765800" cy="246253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16"/>
        </w:rPr>
      </w:pPr>
      <w:r>
        <w:rPr>
          <w:rFonts w:ascii="Times New Roman" w:hAnsi="Times New Roman"/>
          <w:b/>
          <w:sz w:val="16"/>
        </w:rPr>
        <w:t xml:space="preserve">ATTO-1310 has demonstrated &gt;95% coverage of percent free IL-31 for over 12 weeks, suggesting potential for infrequent dosing.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ATTO-1310: Phase 1b Proof-of-Concept Trials in Patients Suffering from Chronic Pruritus and High-Itch AD </w:t>
      </w:r>
    </w:p>
    <w:p>
      <w:pPr>
        <w:pStyle w:val="TextBody"/>
        <w:bidi w:val="0"/>
        <w:spacing w:before="120" w:after="0"/>
        <w:jc w:val="both"/>
        <w:rPr>
          <w:rFonts w:ascii="Times New Roman" w:hAnsi="Times New Roman"/>
          <w:sz w:val="20"/>
        </w:rPr>
      </w:pPr>
      <w:r>
        <w:rPr>
          <w:rFonts w:ascii="Times New Roman" w:hAnsi="Times New Roman"/>
          <w:sz w:val="20"/>
        </w:rPr>
        <w:t xml:space="preserve">In Parts 3 and 4 of the Phase 1 clinical trial of ATTO-1310, a total of 26 patients in each part were randomized at a 2:1 ratio to receive ATTO-1310 at 4.5 mg/kg or 9.0 mg/kg, or placebo, in each case administered SC. In each part, 12 to 14 patients were enrolled at each dose level. Recruitment across clinical sites in the United States and Canada is complete. The study is currently ongoing and remains blinded at an individual level. The study aims to assess the PK, tolerability, immunogenicity and PD of ATTO-1310 in patients suffering from chronic pruritus and high-itch AD. Clinical efficacy endpoints will be evaluated as exploratory assessments to demonstrate initial proof of clinical activity. During the initial four weeks of the study rescue medication use is prohibited. Exploratory efficacy endpoint readouts are carried out at the 4-week and 16-week timepoints. Given that patients only receive a single dose of the drug and are prevented from use of rescue medication for the first 4 weeks, the 4-week timepoint is the most relevant for the assessment of the clinical activity of ATTO-1310. Figure 16 delineates the trial design for each cohort. </w:t>
      </w:r>
    </w:p>
    <w:p>
      <w:pPr>
        <w:pStyle w:val="TextBody"/>
        <w:bidi w:val="0"/>
        <w:spacing w:before="480" w:after="0"/>
        <w:jc w:val="center"/>
        <w:rPr>
          <w:rFonts w:ascii="Times New Roman" w:hAnsi="Times New Roman"/>
          <w:sz w:val="20"/>
        </w:rPr>
      </w:pPr>
      <w:r>
        <w:rPr>
          <w:rFonts w:ascii="Times New Roman" w:hAnsi="Times New Roman"/>
          <w:b/>
          <w:i/>
          <w:sz w:val="20"/>
        </w:rPr>
        <w:t>Figure 16: ATTO-1310 Phase 1 Clinical Trial Design – Chronic Pruritus and High-Itch AD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4530" cy="2162810"/>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19"/>
                    <a:stretch>
                      <a:fillRect/>
                    </a:stretch>
                  </pic:blipFill>
                  <pic:spPr bwMode="auto">
                    <a:xfrm>
                      <a:off x="0" y="0"/>
                      <a:ext cx="5764530" cy="216281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16"/>
        </w:rPr>
      </w:pPr>
      <w:r>
        <w:rPr>
          <w:rFonts w:ascii="Times New Roman" w:hAnsi="Times New Roman"/>
          <w:b/>
          <w:sz w:val="16"/>
        </w:rPr>
        <w:t xml:space="preserve">ATTO-1310 Phase 1 Parts 3 and 4 consists of 12-14 patients per cohort. Key exploratory efficacy endpoints include PP-NRS, SD-NRS, EASI, SCORAD, and total and free IL-31, among others.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ATTO-1310 Phase 1b Clinical Trial: Baseline Characteristics </w:t>
      </w:r>
    </w:p>
    <w:p>
      <w:pPr>
        <w:pStyle w:val="TextBody"/>
        <w:bidi w:val="0"/>
        <w:spacing w:before="120" w:after="0"/>
        <w:jc w:val="both"/>
        <w:rPr>
          <w:rFonts w:ascii="Times New Roman" w:hAnsi="Times New Roman"/>
          <w:sz w:val="20"/>
        </w:rPr>
      </w:pPr>
      <w:r>
        <w:rPr>
          <w:rFonts w:ascii="Times New Roman" w:hAnsi="Times New Roman"/>
          <w:sz w:val="20"/>
        </w:rPr>
        <w:t xml:space="preserve">In the chronic pruritus cohorts, 12 and 14 patients were enrolled at the 4.5 mg/kg and 9.0 mg/kg dose levels, respectively. The mean age in both cohorts was approximately 60 to 62 years, consistent with the increased prevalence of CPUO among the elderly population (Figure 17). The mean baseline PP-NRS (peak pruritus numerical rating scale) scores were balanced and above 7, consistent with the inclusion criteria. </w:t>
      </w:r>
    </w:p>
    <w:p>
      <w:pPr>
        <w:pStyle w:val="TextBody"/>
        <w:bidi w:val="0"/>
        <w:spacing w:before="480" w:after="0"/>
        <w:jc w:val="center"/>
        <w:rPr>
          <w:rFonts w:ascii="Times New Roman" w:hAnsi="Times New Roman"/>
          <w:b/>
          <w:i/>
          <w:sz w:val="20"/>
        </w:rPr>
      </w:pPr>
      <w:r>
        <w:rPr>
          <w:rFonts w:ascii="Times New Roman" w:hAnsi="Times New Roman"/>
          <w:b/>
          <w:i/>
          <w:sz w:val="20"/>
        </w:rPr>
        <w:t xml:space="preserve">Figure 17: Baseline Characteristics of Chronic Pruritus Cohorts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58180" cy="1831340"/>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20"/>
                    <a:stretch>
                      <a:fillRect/>
                    </a:stretch>
                  </pic:blipFill>
                  <pic:spPr bwMode="auto">
                    <a:xfrm>
                      <a:off x="0" y="0"/>
                      <a:ext cx="5758180" cy="183134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16"/>
        </w:rPr>
      </w:pPr>
      <w:r>
        <w:rPr>
          <w:rFonts w:ascii="Times New Roman" w:hAnsi="Times New Roman"/>
          <w:b/>
          <w:sz w:val="16"/>
        </w:rPr>
        <w:t xml:space="preserve">12 and 14 patients were enrolled in the 4.5 mg/kg and 9.0 mg/kg CP cohorts, respectively, of ATTO-1310. </w:t>
      </w:r>
    </w:p>
    <w:p>
      <w:pPr>
        <w:pStyle w:val="TextBody"/>
        <w:bidi w:val="0"/>
        <w:spacing w:before="240" w:after="0"/>
        <w:jc w:val="both"/>
        <w:rPr>
          <w:rFonts w:ascii="Times New Roman" w:hAnsi="Times New Roman"/>
          <w:sz w:val="20"/>
        </w:rPr>
      </w:pPr>
      <w:r>
        <w:rPr>
          <w:rFonts w:ascii="Times New Roman" w:hAnsi="Times New Roman"/>
          <w:sz w:val="20"/>
        </w:rPr>
        <w:t xml:space="preserve">In the high-itch AD cohort, 12 and 14 patients were enrolled at the 4.5 mg/kg and 9.0 mg/kg dose levels, respectively. Patients were balanced across active treatment and placebo cohorts with respect to baseline PP-NRS score, with mean PP-NRS above 7, consistent with inclusion criteria. By chance, patients in the placebo cohorts exhibited higher baseline EASI scores than patients in the active treatment arms (Figure 18). </w:t>
      </w:r>
    </w:p>
    <w:p>
      <w:pPr>
        <w:pStyle w:val="TextBody"/>
        <w:bidi w:val="0"/>
        <w:spacing w:before="480" w:after="0"/>
        <w:jc w:val="center"/>
        <w:rPr>
          <w:rFonts w:ascii="Times New Roman" w:hAnsi="Times New Roman"/>
          <w:b/>
          <w:i/>
          <w:sz w:val="20"/>
        </w:rPr>
      </w:pPr>
      <w:r>
        <w:rPr>
          <w:rFonts w:ascii="Times New Roman" w:hAnsi="Times New Roman"/>
          <w:b/>
          <w:i/>
          <w:sz w:val="20"/>
        </w:rPr>
        <w:t xml:space="preserve">Figure 18: Baseline Characteristics of High-Itch AD Cohorts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1515" cy="2225675"/>
            <wp:effectExtent l="0" t="0" r="0" b="0"/>
            <wp:docPr id="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0" descr=""/>
                    <pic:cNvPicPr>
                      <a:picLocks noChangeAspect="1" noChangeArrowheads="1"/>
                    </pic:cNvPicPr>
                  </pic:nvPicPr>
                  <pic:blipFill>
                    <a:blip r:embed="rId21"/>
                    <a:stretch>
                      <a:fillRect/>
                    </a:stretch>
                  </pic:blipFill>
                  <pic:spPr bwMode="auto">
                    <a:xfrm>
                      <a:off x="0" y="0"/>
                      <a:ext cx="5771515" cy="22256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16"/>
        </w:rPr>
      </w:pPr>
      <w:r>
        <w:rPr>
          <w:rFonts w:ascii="Times New Roman" w:hAnsi="Times New Roman"/>
          <w:b/>
          <w:sz w:val="16"/>
        </w:rPr>
        <w:t xml:space="preserve">12 and 14 patients were enrolled in the 4.5 mg/kg and 9.0 mg/kg high-itch AD cohorts, respectively, of ATTO-1310. </w:t>
      </w:r>
    </w:p>
    <w:p>
      <w:pPr>
        <w:pStyle w:val="TextBody"/>
        <w:bidi w:val="0"/>
        <w:spacing w:before="360" w:after="0"/>
        <w:jc w:val="left"/>
        <w:rPr>
          <w:rFonts w:ascii="Times New Roman" w:hAnsi="Times New Roman"/>
          <w:b/>
          <w:i/>
          <w:sz w:val="20"/>
        </w:rPr>
      </w:pPr>
      <w:r>
        <w:rPr>
          <w:rFonts w:ascii="Times New Roman" w:hAnsi="Times New Roman"/>
          <w:b/>
          <w:i/>
          <w:sz w:val="20"/>
        </w:rPr>
        <w:t xml:space="preserve">ATTO-1310 Phase 1b Clinical Trial: Preliminary Tolerability </w:t>
      </w:r>
    </w:p>
    <w:p>
      <w:pPr>
        <w:pStyle w:val="TextBody"/>
        <w:bidi w:val="0"/>
        <w:spacing w:before="120" w:after="0"/>
        <w:jc w:val="both"/>
        <w:rPr>
          <w:rFonts w:ascii="Times New Roman" w:hAnsi="Times New Roman"/>
          <w:sz w:val="20"/>
        </w:rPr>
      </w:pPr>
      <w:r>
        <w:rPr>
          <w:rFonts w:ascii="Times New Roman" w:hAnsi="Times New Roman"/>
          <w:sz w:val="20"/>
        </w:rPr>
        <w:t xml:space="preserve">ATTO-1310 was well tolerated, with the majority of TEAEs at Grade 1 or Grade 2. At present, the trial remains blinded at an individual level.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ATTO-1310 Phase 1b Clinical Trial: Preliminary PK </w:t>
      </w:r>
    </w:p>
    <w:p>
      <w:pPr>
        <w:pStyle w:val="TextBody"/>
        <w:bidi w:val="0"/>
        <w:spacing w:before="120" w:after="0"/>
        <w:jc w:val="both"/>
        <w:rPr>
          <w:rFonts w:ascii="Times New Roman" w:hAnsi="Times New Roman"/>
          <w:sz w:val="20"/>
        </w:rPr>
      </w:pPr>
      <w:r>
        <w:rPr>
          <w:rFonts w:ascii="Times New Roman" w:hAnsi="Times New Roman"/>
          <w:sz w:val="20"/>
        </w:rPr>
        <w:t xml:space="preserve">The PK profile of ATTO-1310 in chronic pruritus and high-itch AD patients was generally linear and increased in a dose proportional manner (Figure 19). The PK profile was comparable to that observed in HVs. </w:t>
      </w:r>
    </w:p>
    <w:p>
      <w:pPr>
        <w:pStyle w:val="TextBody"/>
        <w:bidi w:val="0"/>
        <w:spacing w:before="480" w:after="0"/>
        <w:jc w:val="center"/>
        <w:rPr>
          <w:rFonts w:ascii="Times New Roman" w:hAnsi="Times New Roman"/>
          <w:b/>
          <w:i/>
          <w:sz w:val="20"/>
        </w:rPr>
      </w:pPr>
      <w:r>
        <w:rPr>
          <w:rFonts w:ascii="Times New Roman" w:hAnsi="Times New Roman"/>
          <w:b/>
          <w:i/>
          <w:sz w:val="20"/>
        </w:rPr>
        <w:t xml:space="preserve">Figure 19: Mean Serum ATTO-1310 Following SC Administration in Chronic Pruritus and High-Itch AD Patients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93105" cy="2378075"/>
            <wp:effectExtent l="0" t="0" r="0" b="0"/>
            <wp:docPr id="2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1" descr=""/>
                    <pic:cNvPicPr>
                      <a:picLocks noChangeAspect="1" noChangeArrowheads="1"/>
                    </pic:cNvPicPr>
                  </pic:nvPicPr>
                  <pic:blipFill>
                    <a:blip r:embed="rId22"/>
                    <a:stretch>
                      <a:fillRect/>
                    </a:stretch>
                  </pic:blipFill>
                  <pic:spPr bwMode="auto">
                    <a:xfrm>
                      <a:off x="0" y="0"/>
                      <a:ext cx="5793105" cy="23780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16"/>
        </w:rPr>
      </w:pPr>
      <w:r>
        <w:rPr>
          <w:rFonts w:ascii="Times New Roman" w:hAnsi="Times New Roman"/>
          <w:b/>
          <w:sz w:val="16"/>
        </w:rPr>
        <w:t xml:space="preserve">Generally dose-dependent PK profile of ATTO-1310 observed in chronic pruritus and high-itch AD cohorts. </w:t>
      </w:r>
    </w:p>
    <w:p>
      <w:pPr>
        <w:pStyle w:val="TextBody"/>
        <w:bidi w:val="0"/>
        <w:spacing w:before="240" w:after="0"/>
        <w:jc w:val="both"/>
        <w:rPr>
          <w:rFonts w:ascii="Times New Roman" w:hAnsi="Times New Roman"/>
          <w:sz w:val="20"/>
        </w:rPr>
      </w:pPr>
      <w:r>
        <w:rPr>
          <w:rFonts w:ascii="Times New Roman" w:hAnsi="Times New Roman"/>
          <w:sz w:val="20"/>
        </w:rPr>
        <w:t xml:space="preserve">In the chronic pruritus cohort, out of 17 patients treated with ATTO-1310, one patient developed post-dosing ADAs for a treatment-induced ADA rate of 5.9%. In the AD cohort, out of 13 patients treated with ATTO-1310 for whom data is available, one patient developed post-dosing ADAs for a treatment-induced ADA rate of 7.7%. In both cohorts, the ADAs had no visible impact on the PK profile of the drug and were not neutralizing.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ATTO-1310 Phase 1b Clinical Trial: Preliminary PD </w:t>
      </w:r>
    </w:p>
    <w:p>
      <w:pPr>
        <w:pStyle w:val="TextBody"/>
        <w:bidi w:val="0"/>
        <w:spacing w:before="120" w:after="0"/>
        <w:jc w:val="both"/>
        <w:rPr>
          <w:rFonts w:ascii="Times New Roman" w:hAnsi="Times New Roman"/>
          <w:sz w:val="20"/>
        </w:rPr>
      </w:pPr>
      <w:r>
        <w:rPr>
          <w:rFonts w:ascii="Times New Roman" w:hAnsi="Times New Roman"/>
          <w:sz w:val="20"/>
        </w:rPr>
        <w:t xml:space="preserve">We tested free and total serum IL-31 levels in chronic pruritus and high-itch AD patients dosed at 4.5 mg/kg or 9.0 mg/kg, with samples obtained pre-dose of ATTO-1310, and at various intervals extending up to 112 days post-dose. We then calculated percent free IL-31 as the ratio of free to total. Across all patient samples, we saw a rapid reduction of percent free IL-31 by at least 95% of baseline and this was maintained for at least 12 weeks post single dose (Figure 20). We believe this data supports the potential for quarterly SC dosing of ATTO-1310 in the maintenance setting.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b/>
          <w:i/>
          <w:sz w:val="20"/>
        </w:rPr>
        <w:t>Figure 20:</w:t>
      </w:r>
      <w:r>
        <w:rPr>
          <w:rFonts w:ascii="Times New Roman" w:hAnsi="Times New Roman"/>
          <w:sz w:val="20"/>
        </w:rPr>
        <w:t xml:space="preserve"> </w:t>
      </w:r>
      <w:r>
        <w:rPr>
          <w:rFonts w:ascii="Times New Roman" w:hAnsi="Times New Roman"/>
          <w:b/>
          <w:i/>
          <w:sz w:val="20"/>
        </w:rPr>
        <w:t>Percent</w:t>
      </w:r>
      <w:r>
        <w:rPr>
          <w:rFonts w:ascii="Times New Roman" w:hAnsi="Times New Roman"/>
          <w:sz w:val="20"/>
        </w:rPr>
        <w:t xml:space="preserve"> </w:t>
      </w:r>
      <w:r>
        <w:rPr>
          <w:rFonts w:ascii="Times New Roman" w:hAnsi="Times New Roman"/>
          <w:b/>
          <w:i/>
          <w:sz w:val="20"/>
        </w:rPr>
        <w:t xml:space="preserve">Free IL-31 Reduction in Chronic Pruritus and High-Itch AD Patient Cohorts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96280" cy="2479040"/>
            <wp:effectExtent l="0" t="0" r="0" b="0"/>
            <wp:docPr id="2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2" descr=""/>
                    <pic:cNvPicPr>
                      <a:picLocks noChangeAspect="1" noChangeArrowheads="1"/>
                    </pic:cNvPicPr>
                  </pic:nvPicPr>
                  <pic:blipFill>
                    <a:blip r:embed="rId23"/>
                    <a:stretch>
                      <a:fillRect/>
                    </a:stretch>
                  </pic:blipFill>
                  <pic:spPr bwMode="auto">
                    <a:xfrm>
                      <a:off x="0" y="0"/>
                      <a:ext cx="5796280" cy="247904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16"/>
        </w:rPr>
      </w:pPr>
      <w:r>
        <w:rPr>
          <w:rFonts w:ascii="Times New Roman" w:hAnsi="Times New Roman"/>
          <w:b/>
          <w:sz w:val="16"/>
        </w:rPr>
        <w:t xml:space="preserve">Rapid reduction by more than 95% of percent free IL-31 that is maintained for at least 12 weeks, supporting quarterly SC dosing.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ATTO-1310 Phase 1b Clinical Trial in Chronic Pruritus: Preliminary Anti-Pruritic Activity </w:t>
      </w:r>
    </w:p>
    <w:p>
      <w:pPr>
        <w:pStyle w:val="TextBody"/>
        <w:bidi w:val="0"/>
        <w:spacing w:before="120" w:after="0"/>
        <w:jc w:val="both"/>
        <w:rPr>
          <w:rFonts w:ascii="Times New Roman" w:hAnsi="Times New Roman"/>
          <w:sz w:val="20"/>
        </w:rPr>
      </w:pPr>
      <w:r>
        <w:rPr>
          <w:rFonts w:ascii="Times New Roman" w:hAnsi="Times New Roman"/>
          <w:sz w:val="20"/>
        </w:rPr>
        <w:t xml:space="preserve">Given small patient numbers in our Phase 1b clinical trial, we elected to analyze results for both the individual dose levels of 4.5 mg/kg and 9.0 mg/kg, as well as a pooled population across both dose cohorts. </w:t>
      </w:r>
    </w:p>
    <w:p>
      <w:pPr>
        <w:pStyle w:val="TextBody"/>
        <w:bidi w:val="0"/>
        <w:spacing w:before="240" w:after="0"/>
        <w:jc w:val="both"/>
        <w:rPr>
          <w:rFonts w:ascii="Times New Roman" w:hAnsi="Times New Roman"/>
          <w:sz w:val="20"/>
        </w:rPr>
      </w:pPr>
      <w:r>
        <w:rPr>
          <w:rFonts w:ascii="Times New Roman" w:hAnsi="Times New Roman"/>
          <w:sz w:val="20"/>
        </w:rPr>
        <w:t xml:space="preserve">We assessed one of our exploratory efficacy endpoints, PP-NRS, by recording changes in the average weekly PP-NRS reported by patients. PP-NRS is a patient reported outcome where once per day, each patient records their highest itch score (peak pruritus) in the past 24 hours using a scale of 0 to 10. Daily scores are then averaged to arrive at a weekly mean (Figure 21). </w:t>
      </w:r>
    </w:p>
    <w:p>
      <w:pPr>
        <w:pStyle w:val="TextBody"/>
        <w:bidi w:val="0"/>
        <w:spacing w:before="240" w:after="0"/>
        <w:jc w:val="both"/>
        <w:rPr>
          <w:rFonts w:ascii="Times New Roman" w:hAnsi="Times New Roman"/>
          <w:sz w:val="20"/>
        </w:rPr>
      </w:pPr>
      <w:r>
        <w:rPr>
          <w:rFonts w:ascii="Times New Roman" w:hAnsi="Times New Roman"/>
          <w:sz w:val="20"/>
        </w:rPr>
        <w:t xml:space="preserve">First, we calculated the share of patients in the active or placebo groups who achieved an at least 4-point reduction in PP-NRS (PP-NRS 4) at various timepoints when compared to their baseline score. In the active treatment group, 50%, 78%, and 65% of patients met this responder definition at week 4 for the 4.5 mg/kg, 9.0 mg/kg and pooled cohorts, respectively. We observed early clinical activity with ATTO-1310, with 38%, 56% and 47% of treated patients reaching PP-NRS 4 by week 2 in each of these cohorts. In contrast, none of the patients treated with placebo showed a 4-point or more reduction in PP-NRS at any of the tested time points. Starting at week 3 for the 9.0 mg/kg cohort and week 2 for the pooled cohort, the difference in response rate between the active and placebo groups became statistically significant (nominal p-value &lt;0.05).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i/>
          <w:sz w:val="20"/>
        </w:rPr>
      </w:pPr>
      <w:r>
        <w:rPr>
          <w:rFonts w:ascii="Times New Roman" w:hAnsi="Times New Roman"/>
          <w:b/>
          <w:i/>
          <w:sz w:val="20"/>
        </w:rPr>
        <w:t xml:space="preserve">Figure 21: Chronic Pruritus PP-NRS 4 Responder Interim Analysis </w:t>
      </w:r>
    </w:p>
    <w:p>
      <w:pPr>
        <w:pStyle w:val="TextBody"/>
        <w:bidi w:val="0"/>
        <w:spacing w:before="0" w:after="0"/>
        <w:jc w:val="left"/>
        <w:rPr/>
      </w:pPr>
      <w:r>
        <w:rPr/>
        <w:t> </w:t>
      </w:r>
    </w:p>
    <w:p>
      <w:pPr>
        <w:pStyle w:val="TextBody"/>
        <w:bidi w:val="0"/>
        <w:spacing w:before="0" w:after="0"/>
        <w:jc w:val="center"/>
        <w:rPr/>
      </w:pPr>
      <w:r>
        <w:rPr/>
        <w:drawing>
          <wp:inline distT="0" distB="0" distL="0" distR="0">
            <wp:extent cx="5843905" cy="2522220"/>
            <wp:effectExtent l="0" t="0" r="0" b="0"/>
            <wp:docPr id="2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3" descr=""/>
                    <pic:cNvPicPr>
                      <a:picLocks noChangeAspect="1" noChangeArrowheads="1"/>
                    </pic:cNvPicPr>
                  </pic:nvPicPr>
                  <pic:blipFill>
                    <a:blip r:embed="rId24"/>
                    <a:stretch>
                      <a:fillRect/>
                    </a:stretch>
                  </pic:blipFill>
                  <pic:spPr bwMode="auto">
                    <a:xfrm>
                      <a:off x="0" y="0"/>
                      <a:ext cx="5843905" cy="252222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16"/>
        </w:rPr>
      </w:pPr>
      <w:r>
        <w:rPr>
          <w:rFonts w:ascii="Times New Roman" w:hAnsi="Times New Roman"/>
          <w:b/>
          <w:sz w:val="16"/>
        </w:rPr>
        <w:t xml:space="preserve">ATTO-1310 rapidly and deeply relieves itch in chronic pruritus patients. Error bars represent confidence intervals. * p &lt; 0.05, ** p &lt; 0.01 </w:t>
      </w:r>
    </w:p>
    <w:p>
      <w:pPr>
        <w:pStyle w:val="TextBody"/>
        <w:bidi w:val="0"/>
        <w:spacing w:before="240" w:after="0"/>
        <w:jc w:val="both"/>
        <w:rPr>
          <w:rFonts w:ascii="Times New Roman" w:hAnsi="Times New Roman"/>
          <w:sz w:val="20"/>
        </w:rPr>
      </w:pPr>
      <w:r>
        <w:rPr>
          <w:rFonts w:ascii="Times New Roman" w:hAnsi="Times New Roman"/>
          <w:sz w:val="20"/>
        </w:rPr>
        <w:t xml:space="preserve">Next, we looked for evidence of deeper responses by assessing the share of patients who achieved PP-NRS score of &lt;2 (itch-free or nearly itch-free). Here, 25% and 44% of patients in the active arm dosed at 4.5 mg/kg or 9.0 mg/kg, respectively, met this threshold by week 4, with some patients achieving an itch-free or nearly itch-free status as early as week 1 (Figure 22). None of the patients in the placebo-treated groups showed this level of response. </w:t>
      </w:r>
    </w:p>
    <w:p>
      <w:pPr>
        <w:pStyle w:val="TextBody"/>
        <w:bidi w:val="0"/>
        <w:spacing w:before="480" w:after="0"/>
        <w:jc w:val="center"/>
        <w:rPr>
          <w:rFonts w:ascii="Times New Roman" w:hAnsi="Times New Roman"/>
          <w:b/>
          <w:i/>
          <w:sz w:val="20"/>
        </w:rPr>
      </w:pPr>
      <w:r>
        <w:rPr>
          <w:rFonts w:ascii="Times New Roman" w:hAnsi="Times New Roman"/>
          <w:b/>
          <w:i/>
          <w:sz w:val="20"/>
        </w:rPr>
        <w:t xml:space="preserve">Figure 22: Chronic Pruritus PP-NRS &lt;2 Interim Analysis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8025" cy="2634615"/>
            <wp:effectExtent l="0" t="0" r="0" b="0"/>
            <wp:docPr id="2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4" descr=""/>
                    <pic:cNvPicPr>
                      <a:picLocks noChangeAspect="1" noChangeArrowheads="1"/>
                    </pic:cNvPicPr>
                  </pic:nvPicPr>
                  <pic:blipFill>
                    <a:blip r:embed="rId25"/>
                    <a:stretch>
                      <a:fillRect/>
                    </a:stretch>
                  </pic:blipFill>
                  <pic:spPr bwMode="auto">
                    <a:xfrm>
                      <a:off x="0" y="0"/>
                      <a:ext cx="5788025" cy="263461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16"/>
        </w:rPr>
      </w:pPr>
      <w:r>
        <w:rPr>
          <w:rFonts w:ascii="Times New Roman" w:hAnsi="Times New Roman"/>
          <w:b/>
          <w:sz w:val="16"/>
        </w:rPr>
        <w:t xml:space="preserve">ATTO-1310 enables itch-free or nearly itch-free status in many patients. Error bars represent confidence intervals.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Limited trials have been carried out in chronic pruritus patients. However, in a recent Phase 3 clinical trial of dupilumab in CPUO (NCT05263206), approximately 18% of dupilumab-treated patients achieved PP-NRS 4 at week 4. </w:t>
      </w:r>
    </w:p>
    <w:p>
      <w:pPr>
        <w:pStyle w:val="TextBody"/>
        <w:bidi w:val="0"/>
        <w:spacing w:before="360" w:after="0"/>
        <w:jc w:val="left"/>
        <w:rPr>
          <w:rFonts w:ascii="Times New Roman" w:hAnsi="Times New Roman"/>
          <w:b/>
          <w:i/>
          <w:sz w:val="20"/>
        </w:rPr>
      </w:pPr>
      <w:r>
        <w:rPr>
          <w:rFonts w:ascii="Times New Roman" w:hAnsi="Times New Roman"/>
          <w:b/>
          <w:i/>
          <w:sz w:val="20"/>
        </w:rPr>
        <w:t xml:space="preserve">ATTO-1310 Phase 1b Clinical Trial in High-Itch AD: Preliminary Anti-Pruritic Activity </w:t>
      </w:r>
    </w:p>
    <w:p>
      <w:pPr>
        <w:pStyle w:val="TextBody"/>
        <w:bidi w:val="0"/>
        <w:spacing w:before="120" w:after="0"/>
        <w:jc w:val="both"/>
        <w:rPr>
          <w:rFonts w:ascii="Times New Roman" w:hAnsi="Times New Roman"/>
          <w:sz w:val="20"/>
        </w:rPr>
      </w:pPr>
      <w:r>
        <w:rPr>
          <w:rFonts w:ascii="Times New Roman" w:hAnsi="Times New Roman"/>
          <w:sz w:val="20"/>
        </w:rPr>
        <w:t xml:space="preserve">Similar to the chronic pruritus cohorts, we analyzed the results for individual dose levels and a pooled cohort and assessed anti-pruritic activity by measuring PP-NRS. </w:t>
      </w:r>
    </w:p>
    <w:p>
      <w:pPr>
        <w:pStyle w:val="TextBody"/>
        <w:bidi w:val="0"/>
        <w:spacing w:before="240" w:after="0"/>
        <w:jc w:val="both"/>
        <w:rPr>
          <w:rFonts w:ascii="Times New Roman" w:hAnsi="Times New Roman"/>
          <w:sz w:val="20"/>
        </w:rPr>
      </w:pPr>
      <w:r>
        <w:rPr>
          <w:rFonts w:ascii="Times New Roman" w:hAnsi="Times New Roman"/>
          <w:sz w:val="20"/>
        </w:rPr>
        <w:t xml:space="preserve">Here, 63%, 30% and 44% of ATTO-1310-treated patients achieved PP-NRS 4 at week 4 for the 4.5 mg/kg, 9 mg/kg and pooled cohorts, respectively. In comparison, only one placebo patient at each dose level achieved PP-NRS 4, for a placebo rate of 25% (Figure 23). </w:t>
      </w:r>
    </w:p>
    <w:p>
      <w:pPr>
        <w:pStyle w:val="TextBody"/>
        <w:bidi w:val="0"/>
        <w:spacing w:before="480" w:after="0"/>
        <w:jc w:val="center"/>
        <w:rPr>
          <w:rFonts w:ascii="Times New Roman" w:hAnsi="Times New Roman"/>
          <w:b/>
          <w:i/>
          <w:sz w:val="20"/>
        </w:rPr>
      </w:pPr>
      <w:r>
        <w:rPr>
          <w:rFonts w:ascii="Times New Roman" w:hAnsi="Times New Roman"/>
          <w:b/>
          <w:i/>
          <w:sz w:val="20"/>
        </w:rPr>
        <w:t xml:space="preserve">Figure 23: High-Itch AD PP-NRS 4 Responder Interim Analysis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8660" cy="2498725"/>
            <wp:effectExtent l="0" t="0" r="0" b="0"/>
            <wp:docPr id="2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5" descr=""/>
                    <pic:cNvPicPr>
                      <a:picLocks noChangeAspect="1" noChangeArrowheads="1"/>
                    </pic:cNvPicPr>
                  </pic:nvPicPr>
                  <pic:blipFill>
                    <a:blip r:embed="rId26"/>
                    <a:stretch>
                      <a:fillRect/>
                    </a:stretch>
                  </pic:blipFill>
                  <pic:spPr bwMode="auto">
                    <a:xfrm>
                      <a:off x="0" y="0"/>
                      <a:ext cx="5788660" cy="24987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16"/>
        </w:rPr>
      </w:pPr>
      <w:r>
        <w:rPr>
          <w:rFonts w:ascii="Times New Roman" w:hAnsi="Times New Roman"/>
          <w:b/>
          <w:sz w:val="16"/>
        </w:rPr>
        <w:t xml:space="preserve">ATTO-1310 rapidly and deeply relieved itch in high-itch AD patients. Error bars represent confidence intervals. </w:t>
      </w:r>
    </w:p>
    <w:p>
      <w:pPr>
        <w:pStyle w:val="TextBody"/>
        <w:bidi w:val="0"/>
        <w:spacing w:before="240" w:after="0"/>
        <w:jc w:val="both"/>
        <w:rPr>
          <w:rFonts w:ascii="Times New Roman" w:hAnsi="Times New Roman"/>
          <w:sz w:val="20"/>
        </w:rPr>
      </w:pPr>
      <w:r>
        <w:rPr>
          <w:rFonts w:ascii="Times New Roman" w:hAnsi="Times New Roman"/>
          <w:sz w:val="20"/>
        </w:rPr>
        <w:t xml:space="preserve">ATTO-1310 demonstrated fast and deep reduction of pruritus. We believe this supports our hypothesis that direct inhibition of IL-31 is the optimal approach for reducing itch. </w:t>
      </w:r>
    </w:p>
    <w:p>
      <w:pPr>
        <w:pStyle w:val="TextBody"/>
        <w:bidi w:val="0"/>
        <w:spacing w:before="240" w:after="0"/>
        <w:jc w:val="both"/>
        <w:rPr>
          <w:rFonts w:ascii="Times New Roman" w:hAnsi="Times New Roman"/>
          <w:sz w:val="20"/>
        </w:rPr>
      </w:pPr>
      <w:r>
        <w:rPr>
          <w:rFonts w:ascii="Times New Roman" w:hAnsi="Times New Roman"/>
          <w:sz w:val="20"/>
        </w:rPr>
        <w:t xml:space="preserve">In published results of itch reduction achieved by dupilumab, lebrikizumab and nemolizumab (baseline PP-NRS 7+ subgroup analysis), 19%, 32% and 28% of dosed patients reached PP-NRS 4 by week 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ATTO-1310 Phase 1b Clinical Trial in High-Itch AD: Preliminary Lesion Control Activity </w:t>
      </w:r>
    </w:p>
    <w:p>
      <w:pPr>
        <w:pStyle w:val="TextBody"/>
        <w:bidi w:val="0"/>
        <w:spacing w:before="120" w:after="0"/>
        <w:jc w:val="both"/>
        <w:rPr>
          <w:rFonts w:ascii="Times New Roman" w:hAnsi="Times New Roman"/>
          <w:sz w:val="20"/>
        </w:rPr>
      </w:pPr>
      <w:r>
        <w:rPr>
          <w:rFonts w:ascii="Times New Roman" w:hAnsi="Times New Roman"/>
          <w:sz w:val="20"/>
        </w:rPr>
        <w:t xml:space="preserve">Inhibition of IL-31 has been shown to reduce lesions in AD patients, as demonstrated by nemolizumab used on the background of topical corticosteroids (TCS). To determine the extent of lesion reduction offered by ATTO-1310 monotherapy treatment, we measured the EASI and IGA (Investigator Global Assessment) scores of patients in our trial. </w:t>
      </w:r>
    </w:p>
    <w:p>
      <w:pPr>
        <w:pStyle w:val="TextBody"/>
        <w:bidi w:val="0"/>
        <w:spacing w:before="240" w:after="0"/>
        <w:jc w:val="both"/>
        <w:rPr>
          <w:rFonts w:ascii="Times New Roman" w:hAnsi="Times New Roman"/>
          <w:sz w:val="20"/>
        </w:rPr>
      </w:pPr>
      <w:r>
        <w:rPr>
          <w:rFonts w:ascii="Times New Roman" w:hAnsi="Times New Roman"/>
          <w:sz w:val="20"/>
        </w:rPr>
        <w:t xml:space="preserve">We observed a 61% and 51% EASI change from baseline (EASI-CFB) in the active arm at week 4 for the 4.5 mg/kg and 9.0 mg/kg cohorts, compared to 17% EASI-CFB for the pooled placebo group. (Figure 24). </w:t>
      </w:r>
    </w:p>
    <w:p>
      <w:pPr>
        <w:pStyle w:val="TextBody"/>
        <w:bidi w:val="0"/>
        <w:spacing w:before="480" w:after="0"/>
        <w:jc w:val="center"/>
        <w:rPr>
          <w:rFonts w:ascii="Times New Roman" w:hAnsi="Times New Roman"/>
          <w:b/>
          <w:i/>
          <w:sz w:val="20"/>
        </w:rPr>
      </w:pPr>
      <w:r>
        <w:rPr>
          <w:rFonts w:ascii="Times New Roman" w:hAnsi="Times New Roman"/>
          <w:b/>
          <w:i/>
          <w:sz w:val="20"/>
        </w:rPr>
        <w:t xml:space="preserve">Figure 24: High-Itch AD EASI % Change From Baseline at Week 4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6755" cy="2466975"/>
            <wp:effectExtent l="0" t="0" r="0" b="0"/>
            <wp:docPr id="2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6" descr=""/>
                    <pic:cNvPicPr>
                      <a:picLocks noChangeAspect="1" noChangeArrowheads="1"/>
                    </pic:cNvPicPr>
                  </pic:nvPicPr>
                  <pic:blipFill>
                    <a:blip r:embed="rId27"/>
                    <a:stretch>
                      <a:fillRect/>
                    </a:stretch>
                  </pic:blipFill>
                  <pic:spPr bwMode="auto">
                    <a:xfrm>
                      <a:off x="0" y="0"/>
                      <a:ext cx="5786755" cy="24669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16"/>
        </w:rPr>
      </w:pPr>
      <w:r>
        <w:rPr>
          <w:rFonts w:ascii="Times New Roman" w:hAnsi="Times New Roman"/>
          <w:b/>
          <w:sz w:val="16"/>
        </w:rPr>
        <w:t xml:space="preserve">Observed consistent lesion control at both ATTO-1310 doses. * p </w:t>
      </w:r>
      <w:r>
        <w:rPr>
          <w:rFonts w:ascii="Times New Roman" w:hAnsi="Times New Roman"/>
          <w:sz w:val="16"/>
        </w:rPr>
        <w:t xml:space="preserve">≤ </w:t>
      </w:r>
      <w:r>
        <w:rPr>
          <w:rFonts w:ascii="Times New Roman" w:hAnsi="Times New Roman"/>
          <w:b/>
          <w:sz w:val="16"/>
        </w:rPr>
        <w:t xml:space="preserve">0.01 </w:t>
      </w:r>
    </w:p>
    <w:p>
      <w:pPr>
        <w:pStyle w:val="TextBody"/>
        <w:bidi w:val="0"/>
        <w:spacing w:before="240" w:after="0"/>
        <w:jc w:val="both"/>
        <w:rPr>
          <w:rFonts w:ascii="Times New Roman" w:hAnsi="Times New Roman"/>
          <w:sz w:val="20"/>
        </w:rPr>
      </w:pPr>
      <w:r>
        <w:rPr>
          <w:rFonts w:ascii="Times New Roman" w:hAnsi="Times New Roman"/>
          <w:sz w:val="20"/>
        </w:rPr>
        <w:t xml:space="preserve">When looking at responder definition, we assessed the percentage of patients in the active and placebo arms of the study achieving EASI-50 through EASI-100 (at least 50% improvement in EASI score and 100% improvement in EASI score, respectively), and IGA 0/1 (clear or almost clear skin). Comparing activity across the two tested dose levels, we observed similar lesional improvement. Notably, as we increased the stringency of response definition from EASI-50 to EASI-100 and to IGA 0/1, the separation of active arm from placebo becomes apparent, with no placebo patient achieving a response higher than EASI-50 (Figure 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i/>
          <w:sz w:val="20"/>
        </w:rPr>
      </w:pPr>
      <w:r>
        <w:rPr>
          <w:rFonts w:ascii="Times New Roman" w:hAnsi="Times New Roman"/>
          <w:b/>
          <w:i/>
          <w:sz w:val="20"/>
        </w:rPr>
        <w:t xml:space="preserve">Figure 25: High-Itch AD EASI and IGA 0/1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7390" cy="4011930"/>
            <wp:effectExtent l="0" t="0" r="0" b="0"/>
            <wp:docPr id="2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7" descr=""/>
                    <pic:cNvPicPr>
                      <a:picLocks noChangeAspect="1" noChangeArrowheads="1"/>
                    </pic:cNvPicPr>
                  </pic:nvPicPr>
                  <pic:blipFill>
                    <a:blip r:embed="rId28"/>
                    <a:stretch>
                      <a:fillRect/>
                    </a:stretch>
                  </pic:blipFill>
                  <pic:spPr bwMode="auto">
                    <a:xfrm>
                      <a:off x="0" y="0"/>
                      <a:ext cx="5787390" cy="401193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16"/>
        </w:rPr>
      </w:pPr>
      <w:r>
        <w:rPr>
          <w:rFonts w:ascii="Times New Roman" w:hAnsi="Times New Roman"/>
          <w:b/>
          <w:sz w:val="16"/>
        </w:rPr>
        <w:t xml:space="preserve">ATTO-1310 demonstrated clinical activity in lesion relief at both tested doses. </w:t>
      </w:r>
    </w:p>
    <w:p>
      <w:pPr>
        <w:pStyle w:val="TextBody"/>
        <w:bidi w:val="0"/>
        <w:spacing w:before="240" w:after="0"/>
        <w:jc w:val="both"/>
        <w:rPr>
          <w:rFonts w:ascii="Times New Roman" w:hAnsi="Times New Roman"/>
          <w:sz w:val="20"/>
        </w:rPr>
      </w:pPr>
      <w:r>
        <w:rPr>
          <w:rFonts w:ascii="Times New Roman" w:hAnsi="Times New Roman"/>
          <w:sz w:val="20"/>
        </w:rPr>
        <w:t xml:space="preserve">Further, we determined the extent of IGA score improvement from baseline in ATTO-1310- and placebo-treated patients. In placebo-treated patients, we observed little to no improvement in IGA score between weeks 0 and 4. In contrast, ATTO-1310-treated patients demonstrate marked improvement in IGA scores at week 4 at both dose levels (Figure 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i/>
          <w:sz w:val="20"/>
        </w:rPr>
      </w:pPr>
      <w:r>
        <w:rPr>
          <w:rFonts w:ascii="Times New Roman" w:hAnsi="Times New Roman"/>
          <w:b/>
          <w:i/>
          <w:sz w:val="20"/>
        </w:rPr>
        <w:t xml:space="preserve">Figure 26: High-Itch AD IGA Improvement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2310" cy="2481580"/>
            <wp:effectExtent l="0" t="0" r="0" b="0"/>
            <wp:docPr id="3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8" descr=""/>
                    <pic:cNvPicPr>
                      <a:picLocks noChangeAspect="1" noChangeArrowheads="1"/>
                    </pic:cNvPicPr>
                  </pic:nvPicPr>
                  <pic:blipFill>
                    <a:blip r:embed="rId29"/>
                    <a:stretch>
                      <a:fillRect/>
                    </a:stretch>
                  </pic:blipFill>
                  <pic:spPr bwMode="auto">
                    <a:xfrm>
                      <a:off x="0" y="0"/>
                      <a:ext cx="5782310" cy="248158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16"/>
        </w:rPr>
      </w:pPr>
      <w:r>
        <w:rPr>
          <w:rFonts w:ascii="Times New Roman" w:hAnsi="Times New Roman"/>
          <w:b/>
          <w:sz w:val="16"/>
        </w:rPr>
        <w:t xml:space="preserve">ATTO-1310 demonstrated greater IGA improvement at week 4 compared to placebo. </w:t>
      </w:r>
    </w:p>
    <w:p>
      <w:pPr>
        <w:pStyle w:val="TextBody"/>
        <w:bidi w:val="0"/>
        <w:spacing w:before="240" w:after="0"/>
        <w:jc w:val="both"/>
        <w:rPr>
          <w:rFonts w:ascii="Times New Roman" w:hAnsi="Times New Roman"/>
          <w:sz w:val="20"/>
        </w:rPr>
      </w:pPr>
      <w:r>
        <w:rPr>
          <w:rFonts w:ascii="Times New Roman" w:hAnsi="Times New Roman"/>
          <w:sz w:val="20"/>
        </w:rPr>
        <w:t xml:space="preserve">Collectively, we believe these results suggest the potential for good lesional improvement in high-itch AD patients, and combined with the initial pruritic results observed from our Phase 1b clinical trial in patients with chronic pruritus and high-itch AD, demonstrate preliminary clinical activity.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Planned Phase 2 Clinical Trials for ATTO-1310 </w:t>
      </w:r>
    </w:p>
    <w:p>
      <w:pPr>
        <w:pStyle w:val="TextBody"/>
        <w:bidi w:val="0"/>
        <w:spacing w:before="120" w:after="0"/>
        <w:jc w:val="both"/>
        <w:rPr>
          <w:rFonts w:ascii="Times New Roman" w:hAnsi="Times New Roman"/>
          <w:sz w:val="20"/>
        </w:rPr>
      </w:pPr>
      <w:r>
        <w:rPr>
          <w:rFonts w:ascii="Times New Roman" w:hAnsi="Times New Roman"/>
          <w:sz w:val="20"/>
        </w:rPr>
        <w:t xml:space="preserve">Encouraged by the strong activity observed in Phase 1b clinical trial of ATTO-1310 in chronic pruritus and high-itch AD patients, we plan to commence Phase 2 clinical trials of ATTO-1310 in both indications. </w:t>
      </w:r>
    </w:p>
    <w:p>
      <w:pPr>
        <w:pStyle w:val="TextBody"/>
        <w:bidi w:val="0"/>
        <w:spacing w:before="240" w:after="0"/>
        <w:jc w:val="both"/>
        <w:rPr>
          <w:rFonts w:ascii="Times New Roman" w:hAnsi="Times New Roman"/>
          <w:sz w:val="20"/>
        </w:rPr>
      </w:pPr>
      <w:r>
        <w:rPr>
          <w:rFonts w:ascii="Times New Roman" w:hAnsi="Times New Roman"/>
          <w:sz w:val="20"/>
        </w:rPr>
        <w:t xml:space="preserve">In chronic pruritus, we are currently preparing for a global Phase 2b clinical trial that would enable Phase 3 clinical trials. In this Phase 2 clinical trial, we plan to test two dose levels of ATTO-1310 at induction, administered SC at weeks 0, 4, and 8, followed by a single dose level administered either every 4 or every 12 weeks. The primary endpoint of the study will be efficacy (improvement of itch), with secondary endpoints including improvement in itch, sleep and Health-Related Quality of Life (HRQoL), as well as safety. Exploratory endpoints will include safety, PK, PD and immunogenicity. The Phase 2 clinical trial is expected to commence in the first half of 2027. </w:t>
      </w:r>
    </w:p>
    <w:p>
      <w:pPr>
        <w:pStyle w:val="TextBody"/>
        <w:bidi w:val="0"/>
        <w:spacing w:before="240" w:after="0"/>
        <w:jc w:val="both"/>
        <w:rPr>
          <w:rFonts w:ascii="Times New Roman" w:hAnsi="Times New Roman"/>
          <w:sz w:val="20"/>
        </w:rPr>
      </w:pPr>
      <w:r>
        <w:rPr>
          <w:rFonts w:ascii="Times New Roman" w:hAnsi="Times New Roman"/>
          <w:sz w:val="20"/>
        </w:rPr>
        <w:t xml:space="preserve">In high-itch AD, we plan to initiate a Phase 2 clinical trial in the first half of 2027. </w:t>
      </w:r>
    </w:p>
    <w:p>
      <w:pPr>
        <w:pStyle w:val="TextBody"/>
        <w:bidi w:val="0"/>
        <w:spacing w:before="360" w:after="0"/>
        <w:jc w:val="left"/>
        <w:rPr>
          <w:rFonts w:ascii="Times New Roman" w:hAnsi="Times New Roman"/>
          <w:b/>
          <w:i/>
          <w:sz w:val="20"/>
        </w:rPr>
      </w:pPr>
      <w:r>
        <w:rPr>
          <w:rFonts w:ascii="Times New Roman" w:hAnsi="Times New Roman"/>
          <w:b/>
          <w:i/>
          <w:sz w:val="20"/>
        </w:rPr>
        <w:t xml:space="preserve">ATTO-1310: Phase 1b Proof-of-Concept Trials in Non-Inflammatory Pruritic Disease </w:t>
      </w:r>
    </w:p>
    <w:p>
      <w:pPr>
        <w:pStyle w:val="TextBody"/>
        <w:bidi w:val="0"/>
        <w:spacing w:before="120" w:after="0"/>
        <w:jc w:val="both"/>
        <w:rPr>
          <w:rFonts w:ascii="Times New Roman" w:hAnsi="Times New Roman"/>
          <w:sz w:val="20"/>
        </w:rPr>
      </w:pPr>
      <w:r>
        <w:rPr>
          <w:rFonts w:ascii="Times New Roman" w:hAnsi="Times New Roman"/>
          <w:sz w:val="20"/>
        </w:rPr>
        <w:t xml:space="preserve">We are also planning a Phase 1b clinical trial of ATTO-1310 in patients suffering from PBC or PSC (Figure 27). The Phase 1b clinical trial is expected to be a double-blind, placebo-controlled, multiple ascending dose (MAD) study where the primary objective of the trial will be to assess the PK of ATTO-1310 in patients with cholestatic pruritus, with secondary objectives including an assessment of tolerability, PD and immunogenicity associated with the administration of ATTO-1310. Exploratory objectives will measure the change in pruritus scores in response to ATTO-1310 compared to placebo treatment. We expect to dose the first subject in the second half of 2026. </w:t>
      </w:r>
    </w:p>
    <w:p>
      <w:pPr>
        <w:pStyle w:val="TextBody"/>
        <w:bidi w:val="0"/>
        <w:spacing w:before="240" w:after="0"/>
        <w:jc w:val="both"/>
        <w:rPr>
          <w:rFonts w:ascii="Times New Roman" w:hAnsi="Times New Roman"/>
          <w:sz w:val="20"/>
        </w:rPr>
      </w:pPr>
      <w:r>
        <w:rPr>
          <w:rFonts w:ascii="Times New Roman" w:hAnsi="Times New Roman"/>
          <w:sz w:val="20"/>
        </w:rPr>
        <w:t xml:space="preserve">In addition to this PBC/PSC trial, we may consider commencing a second Phase 1b clinical trial for ATTO-1310 in patients suffering from CKD-aP (Figure 27).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i/>
          <w:sz w:val="20"/>
        </w:rPr>
      </w:pPr>
      <w:r>
        <w:rPr>
          <w:rFonts w:ascii="Times New Roman" w:hAnsi="Times New Roman"/>
          <w:b/>
          <w:i/>
          <w:sz w:val="20"/>
        </w:rPr>
        <w:t xml:space="preserve">Figure 27: ATTO-1310 Clinical Development Plan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6595" cy="3030220"/>
            <wp:effectExtent l="0" t="0" r="0" b="0"/>
            <wp:docPr id="3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9" descr=""/>
                    <pic:cNvPicPr>
                      <a:picLocks noChangeAspect="1" noChangeArrowheads="1"/>
                    </pic:cNvPicPr>
                  </pic:nvPicPr>
                  <pic:blipFill>
                    <a:blip r:embed="rId30"/>
                    <a:stretch>
                      <a:fillRect/>
                    </a:stretch>
                  </pic:blipFill>
                  <pic:spPr bwMode="auto">
                    <a:xfrm>
                      <a:off x="0" y="0"/>
                      <a:ext cx="5776595" cy="303022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16"/>
        </w:rPr>
      </w:pPr>
      <w:r>
        <w:rPr>
          <w:rFonts w:ascii="Times New Roman" w:hAnsi="Times New Roman"/>
          <w:b/>
          <w:sz w:val="16"/>
        </w:rPr>
        <w:t>Planned ATTO-1310 clinical trials in CPUO, high-itch AD, and cholestatic pruritus, with potential expansion opportunities in CKD-aP and other pruritic conditions as well as potential to pursue a biomarker-enabled precision strategy.</w:t>
      </w:r>
      <w:r>
        <w:rPr>
          <w:rFonts w:ascii="Times New Roman" w:hAnsi="Times New Roman"/>
          <w:sz w:val="16"/>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Summary of ATTO-1310 Clinical Data </w:t>
      </w:r>
    </w:p>
    <w:p>
      <w:pPr>
        <w:pStyle w:val="TextBody"/>
        <w:bidi w:val="0"/>
        <w:spacing w:before="120" w:after="0"/>
        <w:jc w:val="both"/>
        <w:rPr>
          <w:rFonts w:ascii="Times New Roman" w:hAnsi="Times New Roman"/>
          <w:sz w:val="20"/>
        </w:rPr>
      </w:pPr>
      <w:r>
        <w:rPr>
          <w:rFonts w:ascii="Times New Roman" w:hAnsi="Times New Roman"/>
          <w:sz w:val="20"/>
        </w:rPr>
        <w:t xml:space="preserve">To date, ATTO-1310 has demonstrated a favorable tolerability profile across HVs and patients with chronic pruritus and high-itch AD, with predominantly Grade 1 or Grade 2 TEAEs and no treatment-related serious or severe adverse events (SAEs) observed. PK data demonstrated an approximately dose-proportional profile with good SC bioavailability, while immunogenicity remained low with no detected neutralizing ADAs. </w:t>
      </w:r>
    </w:p>
    <w:p>
      <w:pPr>
        <w:pStyle w:val="TextBody"/>
        <w:bidi w:val="0"/>
        <w:spacing w:before="240" w:after="0"/>
        <w:jc w:val="both"/>
        <w:rPr>
          <w:rFonts w:ascii="Times New Roman" w:hAnsi="Times New Roman"/>
          <w:sz w:val="20"/>
        </w:rPr>
      </w:pPr>
      <w:r>
        <w:rPr>
          <w:rFonts w:ascii="Times New Roman" w:hAnsi="Times New Roman"/>
          <w:sz w:val="20"/>
        </w:rPr>
        <w:t xml:space="preserve">PD analyses demonstrated rapid and durable target engagement, with a rapid reduction in percent free IL-31 post-dose and greater than 95% IL-31 suppression maintained for at least 12 weeks at doses of 4.5 mg/kg or greater, supporting the potential for quarterly dosing. </w:t>
      </w:r>
    </w:p>
    <w:p>
      <w:pPr>
        <w:pStyle w:val="TextBody"/>
        <w:bidi w:val="0"/>
        <w:spacing w:before="240" w:after="0"/>
        <w:jc w:val="both"/>
        <w:rPr>
          <w:rFonts w:ascii="Times New Roman" w:hAnsi="Times New Roman"/>
          <w:sz w:val="20"/>
        </w:rPr>
      </w:pPr>
      <w:r>
        <w:rPr>
          <w:rFonts w:ascii="Times New Roman" w:hAnsi="Times New Roman"/>
          <w:sz w:val="20"/>
        </w:rPr>
        <w:t xml:space="preserve">Preliminary Phase 1b data demonstrated rapid and deep anti-pruritic activity following a single dose of ATTO-1310. In pooled analyses, 65% of chronic pruritus patients and 44% of high-itch AD patients achieved a ≥4-point improvement in PP-NRS at week 4, with preliminary evidence of lesion improvement also observed in high-itch AD patients. </w:t>
      </w:r>
    </w:p>
    <w:p>
      <w:pPr>
        <w:pStyle w:val="TextBody"/>
        <w:bidi w:val="0"/>
        <w:spacing w:before="240" w:after="0"/>
        <w:jc w:val="both"/>
        <w:rPr>
          <w:rFonts w:ascii="Times New Roman" w:hAnsi="Times New Roman"/>
          <w:sz w:val="20"/>
        </w:rPr>
      </w:pPr>
      <w:r>
        <w:rPr>
          <w:rFonts w:ascii="Times New Roman" w:hAnsi="Times New Roman"/>
          <w:sz w:val="20"/>
        </w:rPr>
        <w:t xml:space="preserve">We expect to report full results from our Phase 1b clinical trial in the fourth quarter of 2026 or the first quarter of 2027. We are also evaluating ATTO-1310 in another Phase 1b clinical trial in China and expect to report results in the second half of 2027, and plan to initiate Phase 2 clinical trials in CPUO and high-itch AD in 2027. We expect have multiple data readouts from our clinical trials through 2027 and 2028. </w:t>
      </w:r>
    </w:p>
    <w:p>
      <w:pPr>
        <w:pStyle w:val="TextBody"/>
        <w:bidi w:val="0"/>
        <w:spacing w:before="360" w:after="0"/>
        <w:jc w:val="left"/>
        <w:rPr>
          <w:rFonts w:ascii="Times New Roman" w:hAnsi="Times New Roman"/>
          <w:b/>
          <w:i/>
          <w:sz w:val="20"/>
        </w:rPr>
      </w:pPr>
      <w:r>
        <w:rPr>
          <w:rFonts w:ascii="Times New Roman" w:hAnsi="Times New Roman"/>
          <w:b/>
          <w:i/>
          <w:sz w:val="20"/>
        </w:rPr>
        <w:t xml:space="preserve">Further Development of ATTO-1310: Precision Immunology Strategy </w:t>
      </w:r>
    </w:p>
    <w:p>
      <w:pPr>
        <w:pStyle w:val="TextBody"/>
        <w:bidi w:val="0"/>
        <w:spacing w:before="120" w:after="0"/>
        <w:jc w:val="both"/>
        <w:rPr>
          <w:rFonts w:ascii="Times New Roman" w:hAnsi="Times New Roman"/>
          <w:sz w:val="20"/>
        </w:rPr>
      </w:pPr>
      <w:r>
        <w:rPr>
          <w:rFonts w:ascii="Times New Roman" w:hAnsi="Times New Roman"/>
          <w:sz w:val="20"/>
        </w:rPr>
        <w:t xml:space="preserve">We plan to focus the ongoing and future trials of ATTO-1310 on exploring the PD link between IL-31 levels, pruritus, and efficacy of ATTO-1310 treatment. The body of evidence generated through these studies will potentially support a precision immunology, IL-31 biomarker-based clinical development strategy for ATTO-1310.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ATTO-2306 for AD and Other Inflammatory Diseases </w:t>
      </w:r>
    </w:p>
    <w:p>
      <w:pPr>
        <w:pStyle w:val="TextBody"/>
        <w:bidi w:val="0"/>
        <w:spacing w:before="120" w:after="0"/>
        <w:jc w:val="both"/>
        <w:rPr>
          <w:rFonts w:ascii="Times New Roman" w:hAnsi="Times New Roman"/>
          <w:sz w:val="20"/>
        </w:rPr>
      </w:pPr>
      <w:r>
        <w:rPr>
          <w:rFonts w:ascii="Times New Roman" w:hAnsi="Times New Roman"/>
          <w:sz w:val="20"/>
        </w:rPr>
        <w:t xml:space="preserve">ATTO-2306 is a novel half-life extended ATTOBODY-based biotherapeutic that inhibits both IL-13 and IL-31. We believe ATTO-2306 has the potential to establish a new standard of care for the treatment of AD and other immune-mediated skin diseases, such as CSU and PN, by offering favorable lesion and itch control, as well as significantly improved convenience compared to currently available biologic treatments. ATTO-2306 is a next-generation bispecific designed to improve upon one of our past product candidates, ATTO-3712. The key improvement of ATTO-2306 is its potential to deliver a significantly longer projected human half-life compared to ATTO-3712. </w:t>
      </w:r>
    </w:p>
    <w:p>
      <w:pPr>
        <w:pStyle w:val="TextBody"/>
        <w:bidi w:val="0"/>
        <w:spacing w:before="360" w:after="0"/>
        <w:jc w:val="left"/>
        <w:rPr>
          <w:rFonts w:ascii="Times New Roman" w:hAnsi="Times New Roman"/>
          <w:b/>
          <w:i/>
          <w:sz w:val="20"/>
        </w:rPr>
      </w:pPr>
      <w:r>
        <w:rPr>
          <w:rFonts w:ascii="Times New Roman" w:hAnsi="Times New Roman"/>
          <w:b/>
          <w:i/>
          <w:sz w:val="20"/>
        </w:rPr>
        <w:t xml:space="preserve">Background on the AD Market </w:t>
      </w:r>
    </w:p>
    <w:p>
      <w:pPr>
        <w:pStyle w:val="TextBody"/>
        <w:bidi w:val="0"/>
        <w:spacing w:before="120" w:after="0"/>
        <w:jc w:val="both"/>
        <w:rPr>
          <w:rFonts w:ascii="Times New Roman" w:hAnsi="Times New Roman"/>
          <w:sz w:val="20"/>
        </w:rPr>
      </w:pPr>
      <w:r>
        <w:rPr>
          <w:rFonts w:ascii="Times New Roman" w:hAnsi="Times New Roman"/>
          <w:sz w:val="20"/>
        </w:rPr>
        <w:t xml:space="preserve">As described in our discussion of ATTO-1310 earlier, AD is one of the most prevalent immune-mediated diseases globally, affecting an estimated 21 million adults and 10 million pediatric patients in the United States by 2035, with approximately one-third having moderate-to-severe disease (EASI of ≥7). AD pathology is closely linked to Th2 cytokines, including IL-13 and IL-31, which contribute to skin barrier dysfunction, worsen inflammation, induce pruritus and sustain a chronic disease cycle. </w:t>
      </w:r>
    </w:p>
    <w:p>
      <w:pPr>
        <w:pStyle w:val="TextBody"/>
        <w:bidi w:val="0"/>
        <w:spacing w:before="240" w:after="0"/>
        <w:jc w:val="both"/>
        <w:rPr>
          <w:rFonts w:ascii="Times New Roman" w:hAnsi="Times New Roman"/>
          <w:sz w:val="20"/>
        </w:rPr>
      </w:pPr>
      <w:r>
        <w:rPr>
          <w:rFonts w:ascii="Times New Roman" w:hAnsi="Times New Roman"/>
          <w:sz w:val="20"/>
        </w:rPr>
        <w:t xml:space="preserve">The moderate-to-severe AD population represents a large and growing market with substantial commercial opportunity. The combined global revenue for AD drugs was nearly $21 billion in 2025, with the single highest selling therapeutic, DUPIXENT, accounting for $17.8 billion of sales. Despite the significant volume of sales, Sanofi, one of the manufacturers of DUPIXENT, estimated that penetration in moderate-to-severe AD remains at only approximately 18%. The relatively low penetration presents significant room for novel, differentiated therapeutics that address barriers to efficacy, safety, adoption and adherence.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Overview of Current AD Treatment and Unmet Needs </w:t>
      </w:r>
    </w:p>
    <w:p>
      <w:pPr>
        <w:pStyle w:val="TextBody"/>
        <w:bidi w:val="0"/>
        <w:spacing w:before="120" w:after="0"/>
        <w:jc w:val="both"/>
        <w:rPr>
          <w:rFonts w:ascii="Times New Roman" w:hAnsi="Times New Roman"/>
          <w:sz w:val="20"/>
        </w:rPr>
      </w:pPr>
      <w:r>
        <w:rPr>
          <w:rFonts w:ascii="Times New Roman" w:hAnsi="Times New Roman"/>
          <w:sz w:val="20"/>
        </w:rPr>
        <w:t>For moderate-to-severe AD, often with larger body surface area involvement, systemic therapies are essential to achieve disease control. Current first-line approved therapies include monoclonal antibodies targeting the IL-4 receptor alpha (DUPIXENT), IL-13 (EBGLYSS, ADBRY), or IL-31R</w:t>
      </w:r>
      <w:r>
        <w:rPr>
          <w:rFonts w:ascii="SYMBOL" w:hAnsi="SYMBOL"/>
          <w:sz w:val="20"/>
        </w:rPr>
        <w:t>a</w:t>
      </w:r>
      <w:r>
        <w:rPr>
          <w:rFonts w:ascii="Times New Roman" w:hAnsi="Times New Roman"/>
          <w:sz w:val="20"/>
        </w:rPr>
        <w:t xml:space="preserve"> (NEMLUVIO). Other approved therapies include oral Janus kinase (JAK) inhibitors (RINVOQ, CIBINQO). While these therapeutics have benefited patients, significant unmet needs persist,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4"/>
        <w:gridCol w:w="203"/>
        <w:gridCol w:w="9290"/>
      </w:tblGrid>
      <w:tr>
        <w:trPr/>
        <w:tc>
          <w:tcPr>
            <w:tcW w:w="40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right"/>
              <w:rPr>
                <w:b/>
              </w:rPr>
            </w:pPr>
            <w:r>
              <w:rPr>
                <w:b/>
              </w:rPr>
              <w:t>1.</w:t>
            </w:r>
          </w:p>
        </w:tc>
        <w:tc>
          <w:tcPr>
            <w:tcW w:w="203"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b/>
                <w:sz w:val="20"/>
              </w:rPr>
              <w:t>Significant portion of patients achieve only partial or no response.</w:t>
            </w:r>
            <w:r>
              <w:rPr>
                <w:rFonts w:ascii="Times New Roman" w:hAnsi="Times New Roman"/>
                <w:sz w:val="20"/>
              </w:rPr>
              <w:t xml:space="preserve"> DUPIXENT and EBGLYSS, both currently approved biologic therapeutics for AD, enable EASI-75 response in approximately 45% and 55% of patients, respectively, with only approximately 33% and 35% of patients achieving EASI-90,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4"/>
        <w:gridCol w:w="203"/>
        <w:gridCol w:w="9290"/>
      </w:tblGrid>
      <w:tr>
        <w:trPr/>
        <w:tc>
          <w:tcPr>
            <w:tcW w:w="40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right"/>
              <w:rPr>
                <w:b/>
              </w:rPr>
            </w:pPr>
            <w:r>
              <w:rPr>
                <w:b/>
              </w:rPr>
              <w:t>2.</w:t>
            </w:r>
          </w:p>
        </w:tc>
        <w:tc>
          <w:tcPr>
            <w:tcW w:w="203"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b/>
                <w:sz w:val="20"/>
              </w:rPr>
              <w:t xml:space="preserve">Inadequate pruritic relief is an especially overlooked aspect of treating the disease. </w:t>
            </w:r>
            <w:r>
              <w:rPr>
                <w:rFonts w:ascii="Times New Roman" w:hAnsi="Times New Roman"/>
                <w:sz w:val="20"/>
              </w:rPr>
              <w:t xml:space="preserve">DUPIXENT, takes weeks to months to significantly reduce pruritus, with only approximately 40% of patients achieving a 4-point or greater reduction in their daily itch score after 16 weeks of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203"/>
        <w:gridCol w:w="9289"/>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b/>
              </w:rPr>
            </w:pPr>
            <w:r>
              <w:rPr>
                <w:b/>
              </w:rPr>
              <w:t>3.</w:t>
            </w:r>
          </w:p>
        </w:tc>
        <w:tc>
          <w:tcPr>
            <w:tcW w:w="203"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b/>
                <w:sz w:val="20"/>
              </w:rPr>
              <w:t xml:space="preserve">Safety and tolerability remain significant barriers to effective AD management. </w:t>
            </w:r>
            <w:r>
              <w:rPr>
                <w:rFonts w:ascii="Times New Roman" w:hAnsi="Times New Roman"/>
                <w:sz w:val="20"/>
              </w:rPr>
              <w:t xml:space="preserve">Options such as RINVOQ and CIBINQO show significant limitations given black box warnings for SAEs such as infections, malignancies and thromboses.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203"/>
        <w:gridCol w:w="9291"/>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right"/>
              <w:rPr>
                <w:b/>
              </w:rPr>
            </w:pPr>
            <w:r>
              <w:rPr>
                <w:b/>
              </w:rPr>
              <w:t>4.</w:t>
            </w:r>
          </w:p>
        </w:tc>
        <w:tc>
          <w:tcPr>
            <w:tcW w:w="203"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b/>
                <w:sz w:val="20"/>
              </w:rPr>
              <w:t xml:space="preserve">Current treatment options are often inconvenient for patients. </w:t>
            </w:r>
            <w:r>
              <w:rPr>
                <w:rFonts w:ascii="Times New Roman" w:hAnsi="Times New Roman"/>
                <w:sz w:val="20"/>
              </w:rPr>
              <w:t xml:space="preserve">Some of the currently approved biologic medications such as DUPIXENT pose significant barriers to patient adherence by requiring biweekly injections, especially in pediatric patients and those with needle phobia.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Expansion Opportunities in Additional Immune and Inflammatory Diseases </w:t>
      </w:r>
    </w:p>
    <w:p>
      <w:pPr>
        <w:pStyle w:val="TextBody"/>
        <w:bidi w:val="0"/>
        <w:spacing w:before="120" w:after="0"/>
        <w:jc w:val="both"/>
        <w:rPr>
          <w:rFonts w:ascii="Times New Roman" w:hAnsi="Times New Roman"/>
          <w:sz w:val="20"/>
        </w:rPr>
      </w:pPr>
      <w:r>
        <w:rPr>
          <w:rFonts w:ascii="Times New Roman" w:hAnsi="Times New Roman"/>
          <w:sz w:val="20"/>
        </w:rPr>
        <w:t xml:space="preserve">Beyond AD, there are several expansion opportunities in additional immune-mediated diseases, such as CSU, PN and many others. We believe the biologic overlap across various inflammatory conditions will enable us to evaluate ATTO-2306 in other indications where IL-31 and IL-13 dysregulation is implicated, along with our ability to discover ATTOBODIES against a variety of new targets.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Concurrent Inhibition of IL-13 and IL-31 as a Differentiated Approach to Inflammatory Skin Disease </w:t>
      </w:r>
    </w:p>
    <w:p>
      <w:pPr>
        <w:pStyle w:val="TextBody"/>
        <w:bidi w:val="0"/>
        <w:spacing w:before="120" w:after="0"/>
        <w:jc w:val="both"/>
        <w:rPr>
          <w:rFonts w:ascii="Times New Roman" w:hAnsi="Times New Roman"/>
          <w:sz w:val="20"/>
        </w:rPr>
      </w:pPr>
      <w:r>
        <w:rPr>
          <w:rFonts w:ascii="Times New Roman" w:hAnsi="Times New Roman"/>
          <w:sz w:val="20"/>
        </w:rPr>
        <w:t xml:space="preserve">We believe the combination of targeting IL-13 and IL-31 represents an optimized approach to treating inflammatory dermatological conditions such as AD, as these are distinct, complementary and clinically validated pathways with a wide coverage of disease mechanisms (Figure 28). To date, IL-13 and IL-31 are the only two pathways with approved biologic therapeutics for the treatment of AD, which we believe reflect promising mechanisms to inhibit in a bispecific molecule with the potential for improving efficacy over current treatments. Other potential targets, such as TSLP, IL-7R, IL-18, IL-33 and BTLA, have all failed to show benefit as monotherapy in AD. </w:t>
      </w:r>
    </w:p>
    <w:p>
      <w:pPr>
        <w:pStyle w:val="TextBody"/>
        <w:bidi w:val="0"/>
        <w:spacing w:before="480" w:after="0"/>
        <w:jc w:val="center"/>
        <w:rPr>
          <w:rFonts w:ascii="Times New Roman" w:hAnsi="Times New Roman"/>
          <w:b/>
          <w:i/>
          <w:sz w:val="20"/>
        </w:rPr>
      </w:pPr>
      <w:r>
        <w:rPr>
          <w:rFonts w:ascii="Times New Roman" w:hAnsi="Times New Roman"/>
          <w:b/>
          <w:i/>
          <w:sz w:val="20"/>
        </w:rPr>
        <w:t xml:space="preserve">Figure 28: IL-31 and IL-13 Pathways </w:t>
      </w:r>
    </w:p>
    <w:p>
      <w:pPr>
        <w:pStyle w:val="TextBody"/>
        <w:bidi w:val="0"/>
        <w:spacing w:before="0" w:after="0"/>
        <w:jc w:val="left"/>
        <w:rPr/>
      </w:pPr>
      <w:r>
        <w:rPr/>
        <w:t> </w:t>
      </w:r>
    </w:p>
    <w:p>
      <w:pPr>
        <w:pStyle w:val="TextBody"/>
        <w:bidi w:val="0"/>
        <w:spacing w:before="0" w:after="0"/>
        <w:jc w:val="center"/>
        <w:rPr/>
      </w:pPr>
      <w:r>
        <w:rPr/>
        <w:drawing>
          <wp:inline distT="0" distB="0" distL="0" distR="0">
            <wp:extent cx="5056505" cy="3898265"/>
            <wp:effectExtent l="0" t="0" r="0" b="0"/>
            <wp:docPr id="3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0" descr=""/>
                    <pic:cNvPicPr>
                      <a:picLocks noChangeAspect="1" noChangeArrowheads="1"/>
                    </pic:cNvPicPr>
                  </pic:nvPicPr>
                  <pic:blipFill>
                    <a:blip r:embed="rId31"/>
                    <a:stretch>
                      <a:fillRect/>
                    </a:stretch>
                  </pic:blipFill>
                  <pic:spPr bwMode="auto">
                    <a:xfrm>
                      <a:off x="0" y="0"/>
                      <a:ext cx="5056505" cy="389826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16"/>
        </w:rPr>
      </w:pPr>
      <w:r>
        <w:rPr>
          <w:rFonts w:ascii="Times New Roman" w:hAnsi="Times New Roman"/>
          <w:b/>
          <w:sz w:val="16"/>
        </w:rPr>
        <w:t>IL-31 and IL-13 drive overlapping and distinct pathologies and have each demonstrated monotherapy activity in AD resulting in FDA approved therapeutics.</w:t>
      </w:r>
      <w:r>
        <w:rPr>
          <w:rFonts w:ascii="Times New Roman" w:hAnsi="Times New Roman"/>
          <w:sz w:val="16"/>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IL-13 is a key cytokine in the Type 2 immune response that recruits immune cells to sites of inflammation in the skin, drives keratinocyte differentiation, and induces fibrosis. Therapies targeting IL-13, such as lebrikizumab (EBGLYSS), have already demonstrated significant clinical efficacy and favorable safety in reducing inflammation and improving skin clearance in AD. Blocking IL-13 has been shown to halt the production of pro-inflammatory mediators by keratinocytes, stopping the inflammatory milieu and resolving the self-sustaining cycle of immune dysregulation and skin damage. </w:t>
      </w:r>
    </w:p>
    <w:p>
      <w:pPr>
        <w:pStyle w:val="TextBody"/>
        <w:bidi w:val="0"/>
        <w:spacing w:before="240" w:after="0"/>
        <w:jc w:val="both"/>
        <w:rPr>
          <w:rFonts w:ascii="Times New Roman" w:hAnsi="Times New Roman"/>
          <w:sz w:val="20"/>
        </w:rPr>
      </w:pPr>
      <w:r>
        <w:rPr>
          <w:rFonts w:ascii="Times New Roman" w:hAnsi="Times New Roman"/>
          <w:sz w:val="20"/>
        </w:rPr>
        <w:t>In contrast, the “itch” cytokine IL-31 acts on sensory neurons expressing its receptor complex (IL-31R</w:t>
      </w:r>
      <w:r>
        <w:rPr>
          <w:rFonts w:ascii="SYMBOL" w:hAnsi="SYMBOL"/>
          <w:sz w:val="20"/>
        </w:rPr>
        <w:t>a</w:t>
      </w:r>
      <w:r>
        <w:rPr>
          <w:rFonts w:ascii="Times New Roman" w:hAnsi="Times New Roman"/>
          <w:sz w:val="20"/>
        </w:rPr>
        <w:t xml:space="preserve"> and OSMRß), activating pruriceptive pathways and inducing pruritus. Beyond its neuronal effects, IL-31 also contributes to inflammation and skin barrier dysfunction by stimulating keratinocytes, fibroblasts and immune cells to produce pro-inflammatory mediators, as well as playing a potential role in immune-senescence.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Despite the success of existing therapies individually targeting the IL-13 and IL-31 pathways, there remains significant unmet need across the AD treatment landscape. Patients seek deeper and more rapid lesion and pruritic relief, benign safety and tolerability, as well as improved dosing convenience.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ATTO-2306 Target Product Profile </w:t>
      </w:r>
    </w:p>
    <w:p>
      <w:pPr>
        <w:pStyle w:val="TextBody"/>
        <w:bidi w:val="0"/>
        <w:spacing w:before="120" w:after="0"/>
        <w:jc w:val="both"/>
        <w:rPr>
          <w:rFonts w:ascii="Times New Roman" w:hAnsi="Times New Roman"/>
          <w:sz w:val="20"/>
        </w:rPr>
      </w:pPr>
      <w:r>
        <w:rPr>
          <w:rFonts w:ascii="Times New Roman" w:hAnsi="Times New Roman"/>
          <w:sz w:val="20"/>
        </w:rPr>
        <w:t xml:space="preserve">ATTO-2306 simultaneously blocks both IL-13 and IL-31, aiming to address both the inflammatory and pruritic components of moderate-to-severe AD in a single bispecific molecule, and offering the potential for favorable clinical outcomes compared to monotherapies targeting either cytokine alone. Additionally, we believe that a bispecific targeting the cytokines, rather than the receptors, in each pathway has a high likelihood of creating a differentiated treatment alternative.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204"/>
        <w:gridCol w:w="9289"/>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b/>
              </w:rPr>
            </w:pPr>
            <w:r>
              <w:rPr>
                <w:b/>
              </w:rPr>
              <w:t>1.</w:t>
            </w:r>
          </w:p>
        </w:tc>
        <w:tc>
          <w:tcPr>
            <w:tcW w:w="204"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b/>
                <w:sz w:val="20"/>
              </w:rPr>
              <w:t xml:space="preserve">Target Selection: </w:t>
            </w:r>
            <w:r>
              <w:rPr>
                <w:rFonts w:ascii="Times New Roman" w:hAnsi="Times New Roman"/>
                <w:sz w:val="20"/>
              </w:rPr>
              <w:t xml:space="preserve">We specifically chose to target the IL-31 cytokine rather than its receptor, IL-31R to achieve two goals: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rPr>
            </w:pPr>
            <w:r>
              <w:rPr>
                <w:b/>
              </w:rPr>
              <w:t>a.</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b/>
                <w:sz w:val="20"/>
              </w:rPr>
              <w:t>Enhance efficacy by targeting the IL-31 ligand (now supported by Phase 1b results for ATTO-1310):</w:t>
            </w:r>
            <w:r>
              <w:rPr>
                <w:rFonts w:ascii="Times New Roman" w:hAnsi="Times New Roman"/>
                <w:sz w:val="20"/>
              </w:rPr>
              <w:t xml:space="preserve"> As noted earlier, the IL-31R</w:t>
            </w:r>
            <w:r>
              <w:rPr>
                <w:rFonts w:ascii="SYMBOL" w:hAnsi="SYMBOL"/>
                <w:sz w:val="20"/>
              </w:rPr>
              <w:t>a</w:t>
            </w:r>
            <w:r>
              <w:rPr>
                <w:rFonts w:ascii="Times New Roman" w:hAnsi="Times New Roman"/>
                <w:sz w:val="20"/>
              </w:rPr>
              <w:t xml:space="preserve">-targeting molecule, nemolizumab, observed a reverse dose-efficacy effect (higher doses less effective than lower doses) in clinical trials in adult patients with AD, pediatric patients with AD and CKD-aP patients, implying efficacy was not maximized. This is especially important in the context of a bispecific molecule, where dosing limitation of one arm affects the entire molecule.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rPr>
            </w:pPr>
            <w:r>
              <w:rPr>
                <w:b/>
              </w:rPr>
              <w:t>b.</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b/>
                <w:sz w:val="20"/>
              </w:rPr>
              <w:t xml:space="preserve">Faster pruritic relief: </w:t>
            </w:r>
            <w:r>
              <w:rPr>
                <w:rFonts w:ascii="Times New Roman" w:hAnsi="Times New Roman"/>
                <w:sz w:val="20"/>
              </w:rPr>
              <w:t xml:space="preserve">We believe that by targeting IL-31, rather than its receptor, we may be able to achieve faster pruritic relief based on third-party data from canines treated using lokivetmab, where significant relief of scratching events was seen within three to five hours of dosing, and our Phase 1b data for ATTO-1310. In contrast, clinical data from Phase 3 clinical trials of nemolizumab indicated significant pruritic relief (measured as PP-NRS reduction of 4 points or more) only after multiple weeks of dosing.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203"/>
        <w:gridCol w:w="9289"/>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b/>
              </w:rPr>
            </w:pPr>
            <w:r>
              <w:rPr>
                <w:b/>
              </w:rPr>
              <w:t>2.</w:t>
            </w:r>
          </w:p>
        </w:tc>
        <w:tc>
          <w:tcPr>
            <w:tcW w:w="203"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b/>
                <w:sz w:val="20"/>
              </w:rPr>
              <w:t xml:space="preserve">Dosing Schedule: </w:t>
            </w:r>
            <w:r>
              <w:rPr>
                <w:rFonts w:ascii="Times New Roman" w:hAnsi="Times New Roman"/>
                <w:sz w:val="20"/>
              </w:rPr>
              <w:t>A key potential benefit of targeting IL-13 rather than a subunit of its receptor, IL-4R</w:t>
            </w:r>
            <w:r>
              <w:rPr>
                <w:rFonts w:ascii="SYMBOL" w:hAnsi="SYMBOL"/>
                <w:sz w:val="20"/>
              </w:rPr>
              <w:t>a</w:t>
            </w:r>
            <w:r>
              <w:rPr>
                <w:rFonts w:ascii="Times New Roman" w:hAnsi="Times New Roman"/>
                <w:sz w:val="20"/>
              </w:rPr>
              <w:t xml:space="preserve">, is the avoidance of TMDD, where receptors in the peripheral tissue act as an antigen sink, leading to non-linear PK and the need for frequent dosing to maintain therapeutic drug exposure levels. This choice is also especially important in a bispecific molecule, as a target promoting TMDD in one half of a molecule reduces the available drug to bind the second target. </w:t>
            </w:r>
          </w:p>
        </w:tc>
      </w:tr>
    </w:tbl>
    <w:p>
      <w:pPr>
        <w:pStyle w:val="TextBody"/>
        <w:bidi w:val="0"/>
        <w:spacing w:before="240" w:after="0"/>
        <w:jc w:val="both"/>
        <w:rPr>
          <w:rFonts w:ascii="Times New Roman" w:hAnsi="Times New Roman"/>
          <w:sz w:val="20"/>
        </w:rPr>
      </w:pPr>
      <w:r>
        <w:rPr>
          <w:rFonts w:ascii="Times New Roman" w:hAnsi="Times New Roman"/>
          <w:sz w:val="20"/>
        </w:rPr>
        <w:t>Our hypotheses regarding targeting IL-31 rather than IL-31R</w:t>
      </w:r>
      <w:r>
        <w:rPr>
          <w:rFonts w:ascii="SYMBOL" w:hAnsi="SYMBOL"/>
          <w:sz w:val="20"/>
        </w:rPr>
        <w:t>a</w:t>
      </w:r>
      <w:r>
        <w:rPr>
          <w:rFonts w:ascii="Times New Roman" w:hAnsi="Times New Roman"/>
          <w:sz w:val="20"/>
        </w:rPr>
        <w:t xml:space="preserve"> now have initial clinical validation, based on the readout from our Phase 1 clinical trial of ATTO-1310. Collectively, by developing ATTO-2306, we aim to provide patients suffering from AD and other inflammatory skin diseases with a potential treatment option that is differentiated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202"/>
        <w:gridCol w:w="92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1.</w:t>
            </w:r>
          </w:p>
        </w:tc>
        <w:tc>
          <w:tcPr>
            <w:tcW w:w="202" w:type="dxa"/>
            <w:tcBorders/>
          </w:tcPr>
          <w:p>
            <w:pPr>
              <w:pStyle w:val="TableContents"/>
              <w:bidi w:val="0"/>
              <w:spacing w:before="0" w:after="283"/>
              <w:jc w:val="left"/>
              <w:rPr/>
            </w:pPr>
            <w:r>
              <w:rPr/>
              <w:t> </w:t>
            </w:r>
          </w:p>
        </w:tc>
        <w:tc>
          <w:tcPr>
            <w:tcW w:w="92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Simultaneous inhibition of two disease-causing pathways with distinct mechanisms of action, avoidance of dosing limitations caused by potential receptor-specific biology, and rapid pruritic relief;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203"/>
        <w:gridCol w:w="9289"/>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2.</w:t>
            </w:r>
          </w:p>
        </w:tc>
        <w:tc>
          <w:tcPr>
            <w:tcW w:w="203"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favorable tolerability profile;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203"/>
        <w:gridCol w:w="9290"/>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3.</w:t>
            </w:r>
          </w:p>
        </w:tc>
        <w:tc>
          <w:tcPr>
            <w:tcW w:w="203"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Convenient, quarterly or infrequent dosing.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Solution: ATTO-2306 </w:t>
      </w:r>
    </w:p>
    <w:p>
      <w:pPr>
        <w:pStyle w:val="TextBody"/>
        <w:bidi w:val="0"/>
        <w:spacing w:before="120" w:after="0"/>
        <w:jc w:val="left"/>
        <w:rPr>
          <w:rFonts w:ascii="Times New Roman" w:hAnsi="Times New Roman"/>
          <w:b/>
          <w:i/>
          <w:sz w:val="20"/>
        </w:rPr>
      </w:pPr>
      <w:r>
        <w:rPr>
          <w:rFonts w:ascii="Times New Roman" w:hAnsi="Times New Roman"/>
          <w:b/>
          <w:i/>
          <w:sz w:val="20"/>
        </w:rPr>
        <w:t xml:space="preserve">Molecule Design Considerations </w:t>
      </w:r>
    </w:p>
    <w:p>
      <w:pPr>
        <w:pStyle w:val="TextBody"/>
        <w:bidi w:val="0"/>
        <w:spacing w:before="240" w:after="0"/>
        <w:jc w:val="both"/>
        <w:rPr>
          <w:rFonts w:ascii="Times New Roman" w:hAnsi="Times New Roman"/>
          <w:sz w:val="20"/>
        </w:rPr>
      </w:pPr>
      <w:r>
        <w:rPr>
          <w:rFonts w:ascii="Times New Roman" w:hAnsi="Times New Roman"/>
          <w:sz w:val="20"/>
        </w:rPr>
        <w:t xml:space="preserve">ATTO-2306 consists of two highly potent IL-31-targeted ATTOBODIES (Figure 29), which are connected to an anti-IL-13 IgG containing the YTE mutation for half-life extension and the anti-IL-13 IgG was derived from lebrikizumab. The IL-31 targeting ATTOBODIES incorporated in ATTO-2306 use the same VHHs as those in ATTO-1310. We believe these shared elements will enable the findings from ATTO-1310 clinical trials, together with the existing ample body of evidence for anti-IL-13 antibodies, including evidence supporting half-life extension, to inform and accelerate the development of ATTO-2306.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b/>
          <w:i/>
          <w:sz w:val="20"/>
        </w:rPr>
        <w:t>Figure 29: ATTO-2306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3240405" cy="1790065"/>
            <wp:effectExtent l="0" t="0" r="0" b="0"/>
            <wp:docPr id="3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1" descr=""/>
                    <pic:cNvPicPr>
                      <a:picLocks noChangeAspect="1" noChangeArrowheads="1"/>
                    </pic:cNvPicPr>
                  </pic:nvPicPr>
                  <pic:blipFill>
                    <a:blip r:embed="rId32"/>
                    <a:stretch>
                      <a:fillRect/>
                    </a:stretch>
                  </pic:blipFill>
                  <pic:spPr bwMode="auto">
                    <a:xfrm>
                      <a:off x="0" y="0"/>
                      <a:ext cx="3240405" cy="179006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16"/>
        </w:rPr>
      </w:pPr>
      <w:r>
        <w:rPr>
          <w:rFonts w:ascii="Times New Roman" w:hAnsi="Times New Roman"/>
          <w:b/>
          <w:sz w:val="16"/>
        </w:rPr>
        <w:t>Our bispecific therapeutic candidate ATTO-2306 contains two anti-IL-31 ATTOBODIES fused to an anti-IL-13 IgG.</w:t>
      </w:r>
      <w:r>
        <w:rPr>
          <w:rFonts w:ascii="Times New Roman" w:hAnsi="Times New Roman"/>
          <w:sz w:val="16"/>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Preclinical Characterization of ATTO-2306 </w:t>
      </w:r>
    </w:p>
    <w:p>
      <w:pPr>
        <w:pStyle w:val="TextBody"/>
        <w:bidi w:val="0"/>
        <w:spacing w:before="120" w:after="0"/>
        <w:jc w:val="both"/>
        <w:rPr>
          <w:rFonts w:ascii="Times New Roman" w:hAnsi="Times New Roman"/>
          <w:sz w:val="20"/>
        </w:rPr>
      </w:pPr>
      <w:r>
        <w:rPr>
          <w:rFonts w:ascii="Times New Roman" w:hAnsi="Times New Roman"/>
          <w:sz w:val="20"/>
        </w:rPr>
        <w:t xml:space="preserve">We have conducted a preclinical program to better understand the potential of ATTO-2306. Through these studies, ATTO-2306 has demonstrated: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High potency compared to analog molecules regardless of whether each arm was tested as a monospecific or bispecific;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Low projected risk of immunogenicity in humans;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Long NHP half-life, consistent with avoidance of TMDD compared to an IL-4R</w:t>
            </w:r>
            <w:r>
              <w:rPr>
                <w:rFonts w:ascii="SYMBOL" w:hAnsi="SYMBOL"/>
                <w:sz w:val="20"/>
              </w:rPr>
              <w:t>a</w:t>
            </w:r>
            <w:r>
              <w:rPr>
                <w:rFonts w:ascii="Times New Roman" w:hAnsi="Times New Roman"/>
                <w:sz w:val="20"/>
              </w:rPr>
              <w:t xml:space="preserve"> targeted therapeutic and the utilization of half-life extension technology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High Potency </w:t>
      </w:r>
    </w:p>
    <w:p>
      <w:pPr>
        <w:pStyle w:val="TextBody"/>
        <w:bidi w:val="0"/>
        <w:spacing w:before="120" w:after="0"/>
        <w:jc w:val="both"/>
        <w:rPr>
          <w:rFonts w:ascii="Times New Roman" w:hAnsi="Times New Roman"/>
          <w:sz w:val="20"/>
        </w:rPr>
      </w:pPr>
      <w:r>
        <w:rPr>
          <w:rFonts w:ascii="Times New Roman" w:hAnsi="Times New Roman"/>
          <w:sz w:val="20"/>
        </w:rPr>
        <w:t xml:space="preserve">To demonstrate this property for ATTO-2306, we ran potency measurement assays </w:t>
      </w:r>
      <w:r>
        <w:rPr>
          <w:rFonts w:ascii="Times New Roman" w:hAnsi="Times New Roman"/>
          <w:i/>
          <w:sz w:val="20"/>
        </w:rPr>
        <w:t>in vitro</w:t>
      </w:r>
      <w:r>
        <w:rPr>
          <w:rFonts w:ascii="Times New Roman" w:hAnsi="Times New Roman"/>
          <w:sz w:val="20"/>
        </w:rPr>
        <w:t xml:space="preserve">. As shown in Figure 30 below, ATTO-2306 demonstrated potent inhibition of the IL-13 and IL-31 pathways, with anti-IL-13 potency on par with a lebrikizumab analog.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b/>
          <w:i/>
          <w:sz w:val="20"/>
        </w:rPr>
        <w:t>Figure 30: Potency of IL-13 and IL-31 Signaling Inhibition by ATTO-2306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3580" cy="4224020"/>
            <wp:effectExtent l="0" t="0" r="0" b="0"/>
            <wp:docPr id="3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2" descr=""/>
                    <pic:cNvPicPr>
                      <a:picLocks noChangeAspect="1" noChangeArrowheads="1"/>
                    </pic:cNvPicPr>
                  </pic:nvPicPr>
                  <pic:blipFill>
                    <a:blip r:embed="rId33"/>
                    <a:stretch>
                      <a:fillRect/>
                    </a:stretch>
                  </pic:blipFill>
                  <pic:spPr bwMode="auto">
                    <a:xfrm>
                      <a:off x="0" y="0"/>
                      <a:ext cx="5783580" cy="422402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16"/>
        </w:rPr>
      </w:pPr>
      <w:r>
        <w:rPr>
          <w:rFonts w:ascii="Times New Roman" w:hAnsi="Times New Roman"/>
          <w:b/>
          <w:sz w:val="16"/>
        </w:rPr>
        <w:t xml:space="preserve">ATTO-2306 potently inhibited its target cytokines.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Immunogenicity </w:t>
      </w:r>
    </w:p>
    <w:p>
      <w:pPr>
        <w:pStyle w:val="TextBody"/>
        <w:bidi w:val="0"/>
        <w:spacing w:before="120" w:after="0"/>
        <w:jc w:val="both"/>
        <w:rPr>
          <w:rFonts w:ascii="Times New Roman" w:hAnsi="Times New Roman"/>
          <w:sz w:val="20"/>
        </w:rPr>
      </w:pPr>
      <w:r>
        <w:rPr>
          <w:rFonts w:ascii="Times New Roman" w:hAnsi="Times New Roman"/>
          <w:sz w:val="20"/>
        </w:rPr>
        <w:t xml:space="preserve">We carried out a dendritic cell-T cell activation assay, exposing immune cells from twenty human donors with a range of HLA-II haplotypes to ATTO-2306. This assessment projected a low risk of immunogenicity in humans. </w:t>
      </w:r>
    </w:p>
    <w:p>
      <w:pPr>
        <w:pStyle w:val="TextBody"/>
        <w:bidi w:val="0"/>
        <w:spacing w:before="240" w:after="0"/>
        <w:jc w:val="both"/>
        <w:rPr>
          <w:rFonts w:ascii="Times New Roman" w:hAnsi="Times New Roman"/>
          <w:sz w:val="20"/>
        </w:rPr>
      </w:pPr>
      <w:r>
        <w:rPr>
          <w:rFonts w:ascii="Times New Roman" w:hAnsi="Times New Roman"/>
          <w:sz w:val="20"/>
        </w:rPr>
        <w:t xml:space="preserve">The ex vivo dendritic cell-T cell assay uses peripheral blood mononuclear cells (PBMCs) from at least 20 human donors with a variety of HLA-II haplotypes. These cells are mixed with ATTOBODIES. Dendritic cells in the PBMCs ingest ATTOBODIES, slice them into peptides and present them in the context of the HLA II antigens. Fluorescently labeled T cells are then added to the mixture. If a particular ATTOBODY-derived peptide is recognized as immunogenic, then the labeled T cells become activated and start proliferating. This process results in the reduction of the intensity of the fluorescent signal emitted by each T cell, which is quantified. The risk of immunogenicity is then assessed based on how many of the 20 PBMC sets from human donors saw the ATTOBODIES as immunogenic, and how strong the response was based on how much the fluorescent T cell signal was diluted. We consider the risk low if it is on par or lower than that calculated using the same assay for a number of commercially available and widely used antibodies (Figure 31).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i/>
          <w:sz w:val="20"/>
        </w:rPr>
      </w:pPr>
      <w:r>
        <w:rPr>
          <w:rFonts w:ascii="Times New Roman" w:hAnsi="Times New Roman"/>
          <w:b/>
          <w:i/>
          <w:sz w:val="20"/>
        </w:rPr>
        <w:t xml:space="preserve">Figure 31: Ex Vivo Immunogenicity Assessment </w:t>
      </w:r>
    </w:p>
    <w:p>
      <w:pPr>
        <w:pStyle w:val="TextBody"/>
        <w:bidi w:val="0"/>
        <w:spacing w:before="0" w:after="0"/>
        <w:jc w:val="left"/>
        <w:rPr/>
      </w:pPr>
      <w:r>
        <w:rPr/>
        <w:t> </w:t>
      </w:r>
    </w:p>
    <w:p>
      <w:pPr>
        <w:pStyle w:val="TextBody"/>
        <w:bidi w:val="0"/>
        <w:spacing w:before="0" w:after="0"/>
        <w:jc w:val="center"/>
        <w:rPr/>
      </w:pPr>
      <w:r>
        <w:rPr/>
        <w:drawing>
          <wp:inline distT="0" distB="0" distL="0" distR="0">
            <wp:extent cx="5688965" cy="4253865"/>
            <wp:effectExtent l="0" t="0" r="0" b="0"/>
            <wp:docPr id="3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3" descr=""/>
                    <pic:cNvPicPr>
                      <a:picLocks noChangeAspect="1" noChangeArrowheads="1"/>
                    </pic:cNvPicPr>
                  </pic:nvPicPr>
                  <pic:blipFill>
                    <a:blip r:embed="rId34"/>
                    <a:stretch>
                      <a:fillRect/>
                    </a:stretch>
                  </pic:blipFill>
                  <pic:spPr bwMode="auto">
                    <a:xfrm>
                      <a:off x="0" y="0"/>
                      <a:ext cx="5688965" cy="425386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16"/>
        </w:rPr>
      </w:pPr>
      <w:r>
        <w:rPr>
          <w:rFonts w:ascii="Times New Roman" w:hAnsi="Times New Roman"/>
          <w:b/>
          <w:sz w:val="16"/>
        </w:rPr>
        <w:t>ATTO-2306 showed minimal ex vivo</w:t>
      </w:r>
      <w:r>
        <w:rPr>
          <w:rFonts w:ascii="Times New Roman" w:hAnsi="Times New Roman"/>
          <w:sz w:val="16"/>
        </w:rPr>
        <w:t xml:space="preserve"> </w:t>
      </w:r>
      <w:r>
        <w:rPr>
          <w:rFonts w:ascii="Times New Roman" w:hAnsi="Times New Roman"/>
          <w:b/>
          <w:i/>
          <w:sz w:val="16"/>
        </w:rPr>
        <w:t xml:space="preserve">immunogenicity </w:t>
      </w:r>
      <w:r>
        <w:rPr>
          <w:rFonts w:ascii="Times New Roman" w:hAnsi="Times New Roman"/>
          <w:b/>
          <w:sz w:val="16"/>
        </w:rPr>
        <w:t>compared to positive controls.</w:t>
      </w:r>
      <w:r>
        <w:rPr>
          <w:rFonts w:ascii="Times New Roman" w:hAnsi="Times New Roman"/>
          <w:sz w:val="16"/>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Pharmacokinetic Profile of ATTO-2306 </w:t>
      </w:r>
    </w:p>
    <w:p>
      <w:pPr>
        <w:pStyle w:val="TextBody"/>
        <w:bidi w:val="0"/>
        <w:spacing w:before="120" w:after="0"/>
        <w:jc w:val="both"/>
        <w:rPr>
          <w:rFonts w:ascii="Times New Roman" w:hAnsi="Times New Roman"/>
          <w:sz w:val="20"/>
        </w:rPr>
      </w:pPr>
      <w:r>
        <w:rPr>
          <w:rFonts w:ascii="Times New Roman" w:hAnsi="Times New Roman"/>
          <w:sz w:val="20"/>
        </w:rPr>
        <w:t xml:space="preserve">To test our hypothesis that a bispecific molecule targeting IL-13 would offer potential for convenient, quarterly or infrequent dosing, we evaluated the PK profile of ATTO-2306 in NHPs. Here, we observed a preliminary NHP half-life of approximately 22 days (Figure 32), translating to a projected human half-life of 75 days. Thus, we project the ability to enable extended dosing intervals with ATTO-2306.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i/>
          <w:sz w:val="20"/>
        </w:rPr>
      </w:pPr>
      <w:r>
        <w:rPr>
          <w:rFonts w:ascii="Times New Roman" w:hAnsi="Times New Roman"/>
          <w:b/>
          <w:i/>
          <w:sz w:val="20"/>
        </w:rPr>
        <w:t xml:space="preserve">Figure 32: NHP PK Profile of ATTO-2306 </w:t>
      </w:r>
    </w:p>
    <w:p>
      <w:pPr>
        <w:pStyle w:val="TextBody"/>
        <w:bidi w:val="0"/>
        <w:spacing w:before="0" w:after="0"/>
        <w:jc w:val="left"/>
        <w:rPr/>
      </w:pPr>
      <w:r>
        <w:rPr/>
        <w:t> </w:t>
      </w:r>
    </w:p>
    <w:p>
      <w:pPr>
        <w:pStyle w:val="TextBody"/>
        <w:bidi w:val="0"/>
        <w:spacing w:before="0" w:after="0"/>
        <w:jc w:val="center"/>
        <w:rPr/>
      </w:pPr>
      <w:r>
        <w:rPr/>
        <w:drawing>
          <wp:inline distT="0" distB="0" distL="0" distR="0">
            <wp:extent cx="5048250" cy="4578350"/>
            <wp:effectExtent l="0" t="0" r="0" b="0"/>
            <wp:docPr id="3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4" descr=""/>
                    <pic:cNvPicPr>
                      <a:picLocks noChangeAspect="1" noChangeArrowheads="1"/>
                    </pic:cNvPicPr>
                  </pic:nvPicPr>
                  <pic:blipFill>
                    <a:blip r:embed="rId35"/>
                    <a:stretch>
                      <a:fillRect/>
                    </a:stretch>
                  </pic:blipFill>
                  <pic:spPr bwMode="auto">
                    <a:xfrm>
                      <a:off x="0" y="0"/>
                      <a:ext cx="5048250" cy="45783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16"/>
        </w:rPr>
      </w:pPr>
      <w:r>
        <w:rPr>
          <w:rFonts w:ascii="Times New Roman" w:hAnsi="Times New Roman"/>
          <w:b/>
          <w:sz w:val="16"/>
        </w:rPr>
        <w:t>ATTO-2306 demonstrated extended NHP half-life supporting infrequent dosing.</w:t>
      </w:r>
      <w:r>
        <w:rPr>
          <w:rFonts w:ascii="Times New Roman" w:hAnsi="Times New Roman"/>
          <w:sz w:val="16"/>
        </w:rPr>
        <w:t xml:space="preserve"> </w:t>
      </w:r>
      <w:r>
        <w:rPr>
          <w:rFonts w:ascii="Times New Roman" w:hAnsi="Times New Roman"/>
          <w:b/>
          <w:sz w:val="16"/>
        </w:rPr>
        <w:t>PK Study: Single Dose (5 mg/kg, IV)</w:t>
      </w:r>
      <w:r>
        <w:rPr>
          <w:rFonts w:ascii="Times New Roman" w:hAnsi="Times New Roman"/>
          <w:sz w:val="16"/>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Developability of ATTO-2306 </w:t>
      </w:r>
    </w:p>
    <w:p>
      <w:pPr>
        <w:pStyle w:val="TextBody"/>
        <w:bidi w:val="0"/>
        <w:spacing w:before="120" w:after="0"/>
        <w:jc w:val="both"/>
        <w:rPr>
          <w:rFonts w:ascii="Times New Roman" w:hAnsi="Times New Roman"/>
          <w:sz w:val="20"/>
        </w:rPr>
      </w:pPr>
      <w:r>
        <w:rPr>
          <w:rFonts w:ascii="Times New Roman" w:hAnsi="Times New Roman"/>
          <w:sz w:val="20"/>
        </w:rPr>
        <w:t xml:space="preserve">ATTO-2306 exhibited favorable developability and manufacturability properties, and ability to develop a high-concentration SC formulation. </w:t>
      </w:r>
    </w:p>
    <w:p>
      <w:pPr>
        <w:pStyle w:val="TextBody"/>
        <w:bidi w:val="0"/>
        <w:spacing w:before="360" w:after="0"/>
        <w:jc w:val="left"/>
        <w:rPr>
          <w:rFonts w:ascii="Times New Roman" w:hAnsi="Times New Roman"/>
          <w:b/>
          <w:sz w:val="20"/>
        </w:rPr>
      </w:pPr>
      <w:r>
        <w:rPr>
          <w:rFonts w:ascii="Times New Roman" w:hAnsi="Times New Roman"/>
          <w:b/>
          <w:sz w:val="20"/>
        </w:rPr>
        <w:t xml:space="preserve">Further Development of ATTO-2306 </w:t>
      </w:r>
    </w:p>
    <w:p>
      <w:pPr>
        <w:pStyle w:val="TextBody"/>
        <w:bidi w:val="0"/>
        <w:spacing w:before="120" w:after="0"/>
        <w:jc w:val="both"/>
        <w:rPr>
          <w:rFonts w:ascii="Times New Roman" w:hAnsi="Times New Roman"/>
          <w:sz w:val="20"/>
        </w:rPr>
      </w:pPr>
      <w:r>
        <w:rPr>
          <w:rFonts w:ascii="Times New Roman" w:hAnsi="Times New Roman"/>
          <w:sz w:val="20"/>
        </w:rPr>
        <w:t xml:space="preserve">IND-enabling studies for ATTO-2306 are currently ongoing. We anticipate commencing a Phase 1 clinical trial in the first half of 2027 and reporting initial results from healthy volunteers in mid-2027. </w:t>
      </w:r>
    </w:p>
    <w:p>
      <w:pPr>
        <w:pStyle w:val="TextBody"/>
        <w:bidi w:val="0"/>
        <w:spacing w:before="360" w:after="0"/>
        <w:jc w:val="left"/>
        <w:rPr>
          <w:rFonts w:ascii="Times New Roman" w:hAnsi="Times New Roman"/>
          <w:b/>
          <w:sz w:val="20"/>
        </w:rPr>
      </w:pPr>
      <w:r>
        <w:rPr>
          <w:rFonts w:ascii="Times New Roman" w:hAnsi="Times New Roman"/>
          <w:b/>
          <w:sz w:val="20"/>
        </w:rPr>
        <w:t xml:space="preserve">ATTO-1091 for IBD </w:t>
      </w:r>
    </w:p>
    <w:p>
      <w:pPr>
        <w:pStyle w:val="TextBody"/>
        <w:bidi w:val="0"/>
        <w:spacing w:before="120" w:after="0"/>
        <w:jc w:val="left"/>
        <w:rPr>
          <w:rFonts w:ascii="Times New Roman" w:hAnsi="Times New Roman"/>
          <w:b/>
          <w:i/>
          <w:sz w:val="20"/>
        </w:rPr>
      </w:pPr>
      <w:r>
        <w:rPr>
          <w:rFonts w:ascii="Times New Roman" w:hAnsi="Times New Roman"/>
          <w:b/>
          <w:i/>
          <w:sz w:val="20"/>
        </w:rPr>
        <w:t xml:space="preserve">Background on the IBD Market </w:t>
      </w:r>
    </w:p>
    <w:p>
      <w:pPr>
        <w:pStyle w:val="TextBody"/>
        <w:bidi w:val="0"/>
        <w:spacing w:before="120" w:after="0"/>
        <w:jc w:val="both"/>
        <w:rPr>
          <w:rFonts w:ascii="Times New Roman" w:hAnsi="Times New Roman"/>
          <w:sz w:val="20"/>
        </w:rPr>
      </w:pPr>
      <w:r>
        <w:rPr>
          <w:rFonts w:ascii="Times New Roman" w:hAnsi="Times New Roman"/>
          <w:sz w:val="20"/>
        </w:rPr>
        <w:t xml:space="preserve">IBD is a chronic immune-mediated condition characterized by persistent inflammation of the gastrointestinal tract. Two of the most common forms of IBD include ulcerative colitis (UC) and Crohn’s disease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(CD), affecting more than 7 million people worldwide. In the United States, UC prevalence is estimated to be approximately 1.1 million individuals, and CD prevalence is estimated to be approximately 1.0 million individuals. </w:t>
      </w:r>
    </w:p>
    <w:p>
      <w:pPr>
        <w:pStyle w:val="TextBody"/>
        <w:bidi w:val="0"/>
        <w:spacing w:before="240" w:after="0"/>
        <w:jc w:val="both"/>
        <w:rPr>
          <w:rFonts w:ascii="Times New Roman" w:hAnsi="Times New Roman"/>
          <w:sz w:val="20"/>
        </w:rPr>
      </w:pPr>
      <w:r>
        <w:rPr>
          <w:rFonts w:ascii="Times New Roman" w:hAnsi="Times New Roman"/>
          <w:sz w:val="20"/>
        </w:rPr>
        <w:t xml:space="preserve">UC is an inflammatory condition that develops over time and predominantly affects the lining of the colon and rectum, typically progressing from the rectum upward. Patients with UC often experience periods of remission and flare-ups, which can significantly impact quality of life. It is estimated that half the patients with UC have moderate-to-severe symptoms in a given year. Symptoms typically include diarrhea (often with blood, mucus or pus), blood in the stool, weight loss, fatigue, fever and inability to pass stool despite urgency. </w:t>
      </w:r>
    </w:p>
    <w:p>
      <w:pPr>
        <w:pStyle w:val="TextBody"/>
        <w:bidi w:val="0"/>
        <w:spacing w:before="240" w:after="0"/>
        <w:jc w:val="both"/>
        <w:rPr>
          <w:rFonts w:ascii="Times New Roman" w:hAnsi="Times New Roman"/>
          <w:sz w:val="20"/>
        </w:rPr>
      </w:pPr>
      <w:r>
        <w:rPr>
          <w:rFonts w:ascii="Times New Roman" w:hAnsi="Times New Roman"/>
          <w:sz w:val="20"/>
        </w:rPr>
        <w:t xml:space="preserve">CD causes inflammation that can occur anywhere in the digestive tract from the mouth to the anus, but most often affects the end of the small intestine and the start of the large intestine. Similar to UC, patients with CD often experience periods of remission and flare-ups, which can significantly impact quality of life. Symptoms typically include persistent abdominal pain, diarrhea (sometimes bloody), fatigue, weight loss and reduced appetite. Over time, disease progression may lead to complications such as strictures, fistulas and malabsorption, contributing to nutritional deficiencies. The unpredictable nature of flares, coupled with the need for long-term treatment and potential surgical interventions, often results in physical discomfort and emotional stress for patients, making CD a challenging condition to manage. </w:t>
      </w:r>
    </w:p>
    <w:p>
      <w:pPr>
        <w:pStyle w:val="TextBody"/>
        <w:bidi w:val="0"/>
        <w:spacing w:before="240" w:after="0"/>
        <w:jc w:val="both"/>
        <w:rPr>
          <w:rFonts w:ascii="Times New Roman" w:hAnsi="Times New Roman"/>
          <w:sz w:val="20"/>
        </w:rPr>
      </w:pPr>
      <w:r>
        <w:rPr>
          <w:rFonts w:ascii="Times New Roman" w:hAnsi="Times New Roman"/>
          <w:sz w:val="20"/>
        </w:rPr>
        <w:t xml:space="preserve">The global IBD market was valued at $29.5 billion in 2025 and is projected to grow due to the increasing prevalence of UC and CD along with growing awareness and early diagnosis of IBD symptoms. </w:t>
      </w:r>
    </w:p>
    <w:p>
      <w:pPr>
        <w:pStyle w:val="TextBody"/>
        <w:bidi w:val="0"/>
        <w:spacing w:before="360" w:after="0"/>
        <w:jc w:val="left"/>
        <w:rPr>
          <w:rFonts w:ascii="Times New Roman" w:hAnsi="Times New Roman"/>
          <w:b/>
          <w:i/>
          <w:sz w:val="20"/>
        </w:rPr>
      </w:pPr>
      <w:r>
        <w:rPr>
          <w:rFonts w:ascii="Times New Roman" w:hAnsi="Times New Roman"/>
          <w:b/>
          <w:i/>
          <w:sz w:val="20"/>
        </w:rPr>
        <w:t xml:space="preserve">Overview of Current IBD Treatment and Unmet Needs </w:t>
      </w:r>
    </w:p>
    <w:p>
      <w:pPr>
        <w:pStyle w:val="TextBody"/>
        <w:bidi w:val="0"/>
        <w:spacing w:before="120" w:after="0"/>
        <w:jc w:val="both"/>
        <w:rPr>
          <w:rFonts w:ascii="Times New Roman" w:hAnsi="Times New Roman"/>
          <w:sz w:val="20"/>
        </w:rPr>
      </w:pPr>
      <w:r>
        <w:rPr>
          <w:rFonts w:ascii="Times New Roman" w:hAnsi="Times New Roman"/>
          <w:sz w:val="20"/>
        </w:rPr>
        <w:t>The current front-line treatment paradigm for IBD includes aminosalicylates, corticosteroids, immunosuppressants and immunomodulators, but a substantial number of patients still experience inadequate symptom control and thus require escalation to advanced therapies. Small molecules such as JAK inhibitors, S1P modulators and TYK2 inhibitors as well as biologics such as anti-TNF</w:t>
      </w:r>
      <w:r>
        <w:rPr>
          <w:rFonts w:ascii="SYMBOL" w:hAnsi="SYMBOL"/>
          <w:sz w:val="20"/>
        </w:rPr>
        <w:t>a</w:t>
      </w:r>
      <w:r>
        <w:rPr>
          <w:rFonts w:ascii="Times New Roman" w:hAnsi="Times New Roman"/>
          <w:sz w:val="20"/>
        </w:rPr>
        <w:t xml:space="preserve">, anti-integrin </w:t>
      </w:r>
      <w:r>
        <w:rPr>
          <w:rFonts w:ascii="SYMBOL" w:hAnsi="SYMBOL"/>
          <w:sz w:val="20"/>
        </w:rPr>
        <w:t>a</w:t>
      </w:r>
      <w:r>
        <w:rPr>
          <w:rFonts w:ascii="Times New Roman" w:hAnsi="Times New Roman"/>
          <w:sz w:val="20"/>
        </w:rPr>
        <w:t xml:space="preserve">4ß7, anti-IL-12/23, anti-IL-23, and anti-TL1A assets aim to further improve treatment of IBD. The progressive and relapsing nature of UC and CD has resulted in the development of several blockbuster drugs. </w:t>
      </w:r>
    </w:p>
    <w:p>
      <w:pPr>
        <w:pStyle w:val="TextBody"/>
        <w:bidi w:val="0"/>
        <w:spacing w:before="240" w:after="0"/>
        <w:jc w:val="both"/>
        <w:rPr>
          <w:rFonts w:ascii="Times New Roman" w:hAnsi="Times New Roman"/>
          <w:sz w:val="20"/>
        </w:rPr>
      </w:pPr>
      <w:r>
        <w:rPr>
          <w:rFonts w:ascii="Times New Roman" w:hAnsi="Times New Roman"/>
          <w:sz w:val="20"/>
        </w:rPr>
        <w:t xml:space="preserve">Despite relative success of current IBD treatments, patients with IBD continue to lack an integrated therapeutic option: approximately 30 to 40% of patients do not respond to first-line therapy, and more than 50% of responders lose response within a year. Furthermore, many advanced therapies have black box warnings or associated risks of serious infections, malignancies or death. Given that the majority of IBD patients do not achieve clinical remission with existing treatments, we believe there is ample therapeutic opportunity for novel biotherapeutics in UC and CD. </w:t>
      </w:r>
    </w:p>
    <w:p>
      <w:pPr>
        <w:pStyle w:val="TextBody"/>
        <w:bidi w:val="0"/>
        <w:spacing w:before="360" w:after="0"/>
        <w:jc w:val="left"/>
        <w:rPr>
          <w:rFonts w:ascii="Times New Roman" w:hAnsi="Times New Roman"/>
          <w:sz w:val="20"/>
        </w:rPr>
      </w:pPr>
      <w:r>
        <w:rPr>
          <w:rFonts w:ascii="Times New Roman" w:hAnsi="Times New Roman"/>
          <w:b/>
          <w:i/>
          <w:sz w:val="20"/>
        </w:rPr>
        <w:t xml:space="preserve">Rationale for Concurrent Inhibition of TL1A, IL-23 and Integrin </w:t>
      </w:r>
      <w:r>
        <w:rPr>
          <w:rFonts w:ascii="SYMBOL" w:hAnsi="SYMBOL"/>
          <w:sz w:val="20"/>
        </w:rPr>
        <w:t>a</w:t>
      </w:r>
      <w:r>
        <w:rPr>
          <w:rFonts w:ascii="Times New Roman" w:hAnsi="Times New Roman"/>
          <w:b/>
          <w:i/>
          <w:sz w:val="20"/>
        </w:rPr>
        <w:t xml:space="preserve">4ß7 in IBD </w:t>
      </w:r>
    </w:p>
    <w:p>
      <w:pPr>
        <w:pStyle w:val="TextBody"/>
        <w:bidi w:val="0"/>
        <w:spacing w:before="120" w:after="0"/>
        <w:jc w:val="both"/>
        <w:rPr>
          <w:rFonts w:ascii="Times New Roman" w:hAnsi="Times New Roman"/>
          <w:sz w:val="20"/>
        </w:rPr>
      </w:pPr>
      <w:r>
        <w:rPr>
          <w:rFonts w:ascii="Times New Roman" w:hAnsi="Times New Roman"/>
          <w:sz w:val="20"/>
        </w:rPr>
        <w:t xml:space="preserve">TL1A has emerged as a promising therapeutic target in IBD because it contributes to both inflammation and fibrosis. Through its receptor, death receptor 3, TL1A amplifies mucosal inflammation by boosting T cell activation and stimulating the release of pro-inflammatory mediators. TL1A also plays a role in driving intestinal fibrosis by activating fibroblasts and promoting collagen deposition. </w:t>
      </w:r>
    </w:p>
    <w:p>
      <w:pPr>
        <w:pStyle w:val="TextBody"/>
        <w:bidi w:val="0"/>
        <w:spacing w:before="240" w:after="0"/>
        <w:jc w:val="both"/>
        <w:rPr>
          <w:rFonts w:ascii="Times New Roman" w:hAnsi="Times New Roman"/>
          <w:sz w:val="20"/>
        </w:rPr>
      </w:pPr>
      <w:r>
        <w:rPr>
          <w:rFonts w:ascii="Times New Roman" w:hAnsi="Times New Roman"/>
          <w:sz w:val="20"/>
        </w:rPr>
        <w:t xml:space="preserve">IL-23 is produced by dendritic cells and macrophages and plays a role in immune response regulation by promoting the expansion and survival of Th17 cells, a subset of T lymphocytes that produce IL-17α and other pro-inflammatory mediators. IL-23 signaling can inhibit the differentiation of regulatory T cells (Tregs), a population essential for controlling and suppressing chronic gut inflammation. </w:t>
      </w:r>
    </w:p>
    <w:p>
      <w:pPr>
        <w:pStyle w:val="TextBody"/>
        <w:bidi w:val="0"/>
        <w:spacing w:before="240" w:after="0"/>
        <w:jc w:val="both"/>
        <w:rPr>
          <w:rFonts w:ascii="Times New Roman" w:hAnsi="Times New Roman"/>
          <w:sz w:val="20"/>
        </w:rPr>
      </w:pPr>
      <w:r>
        <w:rPr>
          <w:rFonts w:ascii="Times New Roman" w:hAnsi="Times New Roman"/>
          <w:sz w:val="20"/>
        </w:rPr>
        <w:t xml:space="preserve">Integrin </w:t>
      </w:r>
      <w:r>
        <w:rPr>
          <w:rFonts w:ascii="SYMBOL" w:hAnsi="SYMBOL"/>
          <w:sz w:val="20"/>
        </w:rPr>
        <w:t>a</w:t>
      </w:r>
      <w:r>
        <w:rPr>
          <w:rFonts w:ascii="Times New Roman" w:hAnsi="Times New Roman"/>
          <w:sz w:val="20"/>
        </w:rPr>
        <w:t xml:space="preserve">4ß7 is a cell-surface adhesion molecule expressed on lymphocytes that enables selective homing to the gastrointestinal tract via binding to MAdCAM-1, which is expressed on the surface of endothelial cells lining blood vessels in the gut. This interaction directs lymphocytes, including naive T cells and effector T cells, from the bloodstream into the intestinal tissue.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Collectively, TL1A, IL-23 and integrin </w:t>
      </w:r>
      <w:r>
        <w:rPr>
          <w:rFonts w:ascii="SYMBOL" w:hAnsi="SYMBOL"/>
          <w:sz w:val="20"/>
        </w:rPr>
        <w:t>a</w:t>
      </w:r>
      <w:r>
        <w:rPr>
          <w:rFonts w:ascii="Times New Roman" w:hAnsi="Times New Roman"/>
          <w:sz w:val="20"/>
        </w:rPr>
        <w:t xml:space="preserve">4ß7 play distinct roles in the pathophysiology of IBD, and independent inhibition of each of the three pathways typically results in good tolerability, with no significant overlap in tolerability signals. We believe a trispecific ATTOBODY that blocks all three targets simultaneously may offer potential for a differentiated treatment alternative in the treatment of IBD. </w:t>
      </w:r>
    </w:p>
    <w:p>
      <w:pPr>
        <w:pStyle w:val="TextBody"/>
        <w:bidi w:val="0"/>
        <w:spacing w:before="360" w:after="0"/>
        <w:jc w:val="left"/>
        <w:rPr>
          <w:rFonts w:ascii="Times New Roman" w:hAnsi="Times New Roman"/>
          <w:b/>
          <w:sz w:val="20"/>
        </w:rPr>
      </w:pPr>
      <w:r>
        <w:rPr>
          <w:rFonts w:ascii="Times New Roman" w:hAnsi="Times New Roman"/>
          <w:b/>
          <w:sz w:val="20"/>
        </w:rPr>
        <w:t xml:space="preserve">Our Solution: ATTO-1091 </w:t>
      </w:r>
    </w:p>
    <w:p>
      <w:pPr>
        <w:pStyle w:val="TextBody"/>
        <w:bidi w:val="0"/>
        <w:spacing w:before="120" w:after="0"/>
        <w:jc w:val="both"/>
        <w:rPr>
          <w:rFonts w:ascii="Times New Roman" w:hAnsi="Times New Roman"/>
          <w:sz w:val="20"/>
        </w:rPr>
      </w:pPr>
      <w:r>
        <w:rPr>
          <w:rFonts w:ascii="Times New Roman" w:hAnsi="Times New Roman"/>
          <w:sz w:val="20"/>
        </w:rPr>
        <w:t xml:space="preserve">ATTO-1091 is a trispecific ATTOBODY-based Fc fusion protein construct that binds to TL1A, IL-23 and integrin </w:t>
      </w:r>
      <w:r>
        <w:rPr>
          <w:rFonts w:ascii="SYMBOL" w:hAnsi="SYMBOL"/>
          <w:sz w:val="20"/>
        </w:rPr>
        <w:t>a</w:t>
      </w:r>
      <w:r>
        <w:rPr>
          <w:rFonts w:ascii="Times New Roman" w:hAnsi="Times New Roman"/>
          <w:sz w:val="20"/>
        </w:rPr>
        <w:t xml:space="preserve">4ß7 with binding properties optimized for all three targets. Similar to ATTO-1310, the Fc portion of ATTO-1091 has been engineered to harbor a YTE mutation (Figure 33). </w:t>
      </w:r>
    </w:p>
    <w:p>
      <w:pPr>
        <w:pStyle w:val="TextBody"/>
        <w:bidi w:val="0"/>
        <w:spacing w:before="480" w:after="0"/>
        <w:jc w:val="center"/>
        <w:rPr>
          <w:rFonts w:ascii="Times New Roman" w:hAnsi="Times New Roman"/>
          <w:b/>
          <w:i/>
          <w:sz w:val="20"/>
        </w:rPr>
      </w:pPr>
      <w:r>
        <w:rPr>
          <w:rFonts w:ascii="Times New Roman" w:hAnsi="Times New Roman"/>
          <w:b/>
          <w:i/>
          <w:sz w:val="20"/>
        </w:rPr>
        <w:t xml:space="preserve">Figure 33: ATTO-1091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5325" cy="3157855"/>
            <wp:effectExtent l="0" t="0" r="0" b="0"/>
            <wp:docPr id="3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5" descr=""/>
                    <pic:cNvPicPr>
                      <a:picLocks noChangeAspect="1" noChangeArrowheads="1"/>
                    </pic:cNvPicPr>
                  </pic:nvPicPr>
                  <pic:blipFill>
                    <a:blip r:embed="rId36"/>
                    <a:stretch>
                      <a:fillRect/>
                    </a:stretch>
                  </pic:blipFill>
                  <pic:spPr bwMode="auto">
                    <a:xfrm>
                      <a:off x="0" y="0"/>
                      <a:ext cx="5775325" cy="315785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16"/>
        </w:rPr>
      </w:pPr>
      <w:r>
        <w:rPr>
          <w:rFonts w:ascii="Times New Roman" w:hAnsi="Times New Roman"/>
          <w:b/>
          <w:sz w:val="16"/>
        </w:rPr>
        <w:t xml:space="preserve">ATTO-1091 inhibits three different targets and uses an Fc fragment with a YTE mutation for half-life extension.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ATTOBODY Arm Properties </w:t>
      </w:r>
    </w:p>
    <w:p>
      <w:pPr>
        <w:pStyle w:val="TextBody"/>
        <w:bidi w:val="0"/>
        <w:spacing w:before="120" w:after="0"/>
        <w:jc w:val="both"/>
        <w:rPr>
          <w:rFonts w:ascii="Times New Roman" w:hAnsi="Times New Roman"/>
          <w:sz w:val="20"/>
        </w:rPr>
      </w:pPr>
      <w:r>
        <w:rPr>
          <w:rFonts w:ascii="Times New Roman" w:hAnsi="Times New Roman"/>
          <w:sz w:val="20"/>
        </w:rPr>
        <w:t xml:space="preserve">A known limitation of anti-TL1A mAbs is their propensity to cause formation of high molecular weight aggregates in the presence of TL1A, which can lead to immunogenicity. This is evident in some of the current anti-TL1A molecules in clinical development that induce high levels of ADAs. By taking advantage of the breadth of diversity offered by the ATTOBODY discovery platform, we successfully identified several anti-TL1A binders that block both the monomeric and trimeric versions of TL1A, without causing the formation of high molecular weight aggregates as shown in Figure 34 below. This desirable property is preserved in the trispecific ATTO-1091 format.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i/>
          <w:sz w:val="20"/>
        </w:rPr>
      </w:pPr>
      <w:r>
        <w:rPr>
          <w:rFonts w:ascii="Times New Roman" w:hAnsi="Times New Roman"/>
          <w:b/>
          <w:i/>
          <w:sz w:val="20"/>
        </w:rPr>
        <w:t xml:space="preserve">Figure 34: Propensity of Anti-TL1A Containing Constructs to Cause High Molecular Weight Aggregates When Combined with TL1A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9930" cy="4909820"/>
            <wp:effectExtent l="0" t="0" r="0" b="0"/>
            <wp:docPr id="3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6" descr=""/>
                    <pic:cNvPicPr>
                      <a:picLocks noChangeAspect="1" noChangeArrowheads="1"/>
                    </pic:cNvPicPr>
                  </pic:nvPicPr>
                  <pic:blipFill>
                    <a:blip r:embed="rId37"/>
                    <a:stretch>
                      <a:fillRect/>
                    </a:stretch>
                  </pic:blipFill>
                  <pic:spPr bwMode="auto">
                    <a:xfrm>
                      <a:off x="0" y="0"/>
                      <a:ext cx="5789930" cy="490982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16"/>
        </w:rPr>
      </w:pPr>
      <w:r>
        <w:rPr>
          <w:rFonts w:ascii="Times New Roman" w:hAnsi="Times New Roman"/>
          <w:b/>
          <w:sz w:val="16"/>
        </w:rPr>
        <w:t xml:space="preserve">ATTO-1091 does not cause high molecular weight aggregates seen for benchmark anti-TL1A analog and associated with immunogenicity. </w:t>
      </w:r>
    </w:p>
    <w:p>
      <w:pPr>
        <w:pStyle w:val="TextBody"/>
        <w:bidi w:val="0"/>
        <w:spacing w:before="240" w:after="0"/>
        <w:jc w:val="both"/>
        <w:rPr>
          <w:rFonts w:ascii="Times New Roman" w:hAnsi="Times New Roman"/>
          <w:sz w:val="20"/>
        </w:rPr>
      </w:pPr>
      <w:r>
        <w:rPr>
          <w:rFonts w:ascii="Times New Roman" w:hAnsi="Times New Roman"/>
          <w:sz w:val="20"/>
        </w:rPr>
        <w:t xml:space="preserve">IL-23 is composed of two protein subunits, p19 and p40. The p40 subunit is shared with IL-12, a different cytokine with a critical role in immune defense that links innate and adaptive immunity. Depending on their recognized epitope, some anti-IL-23 antibodies inhibit both IL-23 and IL-12 (e.g., ustekinumab), whereas others are selective for IL-23 (e.g., risankizumab). Antibodies inhibiting both IL-23 and IL-12 report a higher rate of serious adverse events in clinical trials than antibodies inhibiting only IL-23. Additionally, ustekinumab shows lower efficacy in treating IBD than risankizumab. In our anti-IL-23 research, we prioritized ATTOBODIES that selectively inhibit only IL-23 and have no effect on the activity of IL-12 (Figure 35), a property that is preserved in the trispecific.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i/>
          <w:sz w:val="20"/>
        </w:rPr>
      </w:pPr>
      <w:r>
        <w:rPr>
          <w:rFonts w:ascii="Times New Roman" w:hAnsi="Times New Roman"/>
          <w:b/>
          <w:i/>
          <w:sz w:val="20"/>
        </w:rPr>
        <w:t xml:space="preserve">Figure 35: Anti-IL-23 ATTOBODY Selectively Inhibits IL-23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7230" cy="2682240"/>
            <wp:effectExtent l="0" t="0" r="0" b="0"/>
            <wp:docPr id="3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7" descr=""/>
                    <pic:cNvPicPr>
                      <a:picLocks noChangeAspect="1" noChangeArrowheads="1"/>
                    </pic:cNvPicPr>
                  </pic:nvPicPr>
                  <pic:blipFill>
                    <a:blip r:embed="rId38"/>
                    <a:stretch>
                      <a:fillRect/>
                    </a:stretch>
                  </pic:blipFill>
                  <pic:spPr bwMode="auto">
                    <a:xfrm>
                      <a:off x="0" y="0"/>
                      <a:ext cx="5777230" cy="268224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16"/>
        </w:rPr>
      </w:pPr>
      <w:r>
        <w:rPr>
          <w:rFonts w:ascii="Times New Roman" w:hAnsi="Times New Roman"/>
          <w:b/>
          <w:sz w:val="16"/>
        </w:rPr>
        <w:t xml:space="preserve">ATTO-1091 and anti-IL-23 monospecific ATTOBODY both selectively inhibit IL-23 without inhibiting IL-12, as well as retain potency between the monospecific and fully-loaded ATTO-1091. </w:t>
      </w:r>
    </w:p>
    <w:p>
      <w:pPr>
        <w:pStyle w:val="TextBody"/>
        <w:bidi w:val="0"/>
        <w:spacing w:before="360" w:after="0"/>
        <w:jc w:val="left"/>
        <w:rPr>
          <w:rFonts w:ascii="Times New Roman" w:hAnsi="Times New Roman"/>
          <w:b/>
          <w:i/>
          <w:sz w:val="20"/>
        </w:rPr>
      </w:pPr>
      <w:r>
        <w:rPr>
          <w:rFonts w:ascii="Times New Roman" w:hAnsi="Times New Roman"/>
          <w:b/>
          <w:i/>
          <w:sz w:val="20"/>
        </w:rPr>
        <w:t xml:space="preserve">High Potency of Each Arm Preserved in the Trispecific Format </w:t>
      </w:r>
    </w:p>
    <w:p>
      <w:pPr>
        <w:pStyle w:val="TextBody"/>
        <w:bidi w:val="0"/>
        <w:spacing w:before="120" w:after="0"/>
        <w:jc w:val="both"/>
        <w:rPr>
          <w:rFonts w:ascii="Times New Roman" w:hAnsi="Times New Roman"/>
          <w:sz w:val="20"/>
        </w:rPr>
      </w:pPr>
      <w:r>
        <w:rPr>
          <w:rFonts w:ascii="Times New Roman" w:hAnsi="Times New Roman"/>
          <w:sz w:val="20"/>
        </w:rPr>
        <w:t xml:space="preserve">One of the hallmark properties of the ATTOBODY platform is the generation of binders with high potency directly from discovery screening, without the need for affinity maturation. Further, preservation of properties of each arm in a multispecific molecule is critical to achieving the desired target product profile. As demonstrated in head-to-head studies depicted in Figure 35 above and Figure 36 below, each arm of ATTO-1091 shows potency of the target pathway inhibition that is on par or better than the currently available clinical benchmarks. Furthermore, potency is unaffected by the incorporation of the ATTOBODY arm into the trispecific or by the simultaneous binding of all three targets to all arms of ATTO-1091. We believe that the observed lack of interference between the different arms of ATTO-1091, combined with the high potency of each arm and expected significant overdosing of therapeutic versus each individual target are key to the ability to circumvent any target stoichiometry issues in patients.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i/>
          <w:sz w:val="20"/>
        </w:rPr>
      </w:pPr>
      <w:r>
        <w:rPr>
          <w:rFonts w:ascii="Times New Roman" w:hAnsi="Times New Roman"/>
          <w:b/>
          <w:i/>
          <w:sz w:val="20"/>
        </w:rPr>
        <w:t xml:space="preserve">Figure 36: Potency of ATTO-1091 in Blocking Target Pathways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2150" cy="2673985"/>
            <wp:effectExtent l="0" t="0" r="0" b="0"/>
            <wp:docPr id="4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8" descr=""/>
                    <pic:cNvPicPr>
                      <a:picLocks noChangeAspect="1" noChangeArrowheads="1"/>
                    </pic:cNvPicPr>
                  </pic:nvPicPr>
                  <pic:blipFill>
                    <a:blip r:embed="rId39"/>
                    <a:stretch>
                      <a:fillRect/>
                    </a:stretch>
                  </pic:blipFill>
                  <pic:spPr bwMode="auto">
                    <a:xfrm>
                      <a:off x="0" y="0"/>
                      <a:ext cx="5772150" cy="267398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sz w:val="16"/>
        </w:rPr>
      </w:pPr>
      <w:r>
        <w:rPr>
          <w:rFonts w:ascii="Times New Roman" w:hAnsi="Times New Roman"/>
          <w:b/>
          <w:sz w:val="16"/>
        </w:rPr>
        <w:t xml:space="preserve">Monospecific arms targeting TL1A and integrin </w:t>
      </w:r>
      <w:r>
        <w:rPr>
          <w:rFonts w:ascii="SYMBOL" w:hAnsi="SYMBOL"/>
          <w:sz w:val="16"/>
        </w:rPr>
        <w:t>a</w:t>
      </w:r>
      <w:r>
        <w:rPr>
          <w:rFonts w:ascii="Times New Roman" w:hAnsi="Times New Roman"/>
          <w:b/>
          <w:sz w:val="16"/>
        </w:rPr>
        <w:t xml:space="preserve">4ß7 demonstrated high </w:t>
      </w:r>
      <w:r>
        <w:rPr>
          <w:rFonts w:ascii="Times New Roman" w:hAnsi="Times New Roman"/>
          <w:b/>
          <w:i/>
          <w:sz w:val="16"/>
        </w:rPr>
        <w:t>in vitro</w:t>
      </w:r>
      <w:r>
        <w:rPr>
          <w:rFonts w:ascii="Times New Roman" w:hAnsi="Times New Roman"/>
          <w:sz w:val="16"/>
        </w:rPr>
        <w:t xml:space="preserve"> </w:t>
      </w:r>
      <w:r>
        <w:rPr>
          <w:rFonts w:ascii="Times New Roman" w:hAnsi="Times New Roman"/>
          <w:b/>
          <w:sz w:val="16"/>
        </w:rPr>
        <w:t xml:space="preserve">potency that was retained in ATTO-1091 when all three arms were loaded, showing lack of interference between ATTOBODY arms.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Developability of ATTO-1091 </w:t>
      </w:r>
    </w:p>
    <w:p>
      <w:pPr>
        <w:pStyle w:val="TextBody"/>
        <w:bidi w:val="0"/>
        <w:spacing w:before="120" w:after="0"/>
        <w:jc w:val="both"/>
        <w:rPr>
          <w:rFonts w:ascii="Times New Roman" w:hAnsi="Times New Roman"/>
          <w:sz w:val="20"/>
        </w:rPr>
      </w:pPr>
      <w:r>
        <w:rPr>
          <w:rFonts w:ascii="Times New Roman" w:hAnsi="Times New Roman"/>
          <w:sz w:val="20"/>
        </w:rPr>
        <w:t xml:space="preserve">We designed ATTO-1091 for ease of developability and manufacturability by testing the molecules in a series of assays that evaluate thermostability, hydrophobicity, polyspecificity, aggregation, concentratability and other properties. ATTO-1091 exhibited good developability properties, including manufacturing yields on par with those of a typical mAb, with concentratability that supports SC administration.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Preclinical PK of ATTO-1091 </w:t>
      </w:r>
    </w:p>
    <w:p>
      <w:pPr>
        <w:pStyle w:val="TextBody"/>
        <w:bidi w:val="0"/>
        <w:spacing w:before="120" w:after="0"/>
        <w:jc w:val="both"/>
        <w:rPr>
          <w:rFonts w:ascii="Times New Roman" w:hAnsi="Times New Roman"/>
          <w:sz w:val="20"/>
        </w:rPr>
      </w:pPr>
      <w:r>
        <w:rPr>
          <w:rFonts w:ascii="Times New Roman" w:hAnsi="Times New Roman"/>
          <w:sz w:val="20"/>
        </w:rPr>
        <w:t xml:space="preserve">We aim to achieve infrequent dosing intervals with ATTO-1091, providing an important convenience benefit to patients. We assessed the PK of ATTO-1091 in a humanized Tg32 mouse model. Tg32 mice express human FcRn and have no adaptive immune system, enabling robust evaluation of the PK of Fc-based molecules, including those with mutations enabling longer half-lives. As shown in Figure 37 below, the time-concentration curve of ATTO-1091 administered IV showed much slower elimination kinetics, indicative of potential for extended dosing.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i/>
          <w:sz w:val="20"/>
        </w:rPr>
      </w:pPr>
      <w:r>
        <w:rPr>
          <w:rFonts w:ascii="Times New Roman" w:hAnsi="Times New Roman"/>
          <w:b/>
          <w:i/>
          <w:sz w:val="20"/>
        </w:rPr>
        <w:t xml:space="preserve">Figure 37: ATTO-1091 PK </w:t>
      </w:r>
    </w:p>
    <w:p>
      <w:pPr>
        <w:pStyle w:val="TextBody"/>
        <w:bidi w:val="0"/>
        <w:spacing w:before="0" w:after="0"/>
        <w:jc w:val="left"/>
        <w:rPr/>
      </w:pPr>
      <w:r>
        <w:rPr/>
        <w:t> </w:t>
      </w:r>
    </w:p>
    <w:p>
      <w:pPr>
        <w:pStyle w:val="TextBody"/>
        <w:bidi w:val="0"/>
        <w:spacing w:before="0" w:after="0"/>
        <w:jc w:val="center"/>
        <w:rPr/>
      </w:pPr>
      <w:r>
        <w:rPr/>
        <w:drawing>
          <wp:inline distT="0" distB="0" distL="0" distR="0">
            <wp:extent cx="5381625" cy="4222115"/>
            <wp:effectExtent l="0" t="0" r="0" b="0"/>
            <wp:docPr id="4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9" descr=""/>
                    <pic:cNvPicPr>
                      <a:picLocks noChangeAspect="1" noChangeArrowheads="1"/>
                    </pic:cNvPicPr>
                  </pic:nvPicPr>
                  <pic:blipFill>
                    <a:blip r:embed="rId40"/>
                    <a:stretch>
                      <a:fillRect/>
                    </a:stretch>
                  </pic:blipFill>
                  <pic:spPr bwMode="auto">
                    <a:xfrm>
                      <a:off x="0" y="0"/>
                      <a:ext cx="5381625" cy="422211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16"/>
        </w:rPr>
      </w:pPr>
      <w:r>
        <w:rPr>
          <w:rFonts w:ascii="Times New Roman" w:hAnsi="Times New Roman"/>
          <w:b/>
          <w:sz w:val="16"/>
        </w:rPr>
        <w:t xml:space="preserve">ATTO-1091 demonstrated slow elimination kinetics in a mouse model, suggesting potential for infrequent dosing.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Preclinical Tolerability Profile of ATTO-1091 </w:t>
      </w:r>
    </w:p>
    <w:p>
      <w:pPr>
        <w:pStyle w:val="TextBody"/>
        <w:bidi w:val="0"/>
        <w:spacing w:before="120" w:after="0"/>
        <w:jc w:val="both"/>
        <w:rPr>
          <w:rFonts w:ascii="Times New Roman" w:hAnsi="Times New Roman"/>
          <w:sz w:val="20"/>
        </w:rPr>
      </w:pPr>
      <w:r>
        <w:rPr>
          <w:rFonts w:ascii="Times New Roman" w:hAnsi="Times New Roman"/>
          <w:sz w:val="20"/>
        </w:rPr>
        <w:t xml:space="preserve">ATTO-1091 inhibits three distinct immune pathways, each of which has demonstrated a favorable tolerability profile in third-party clinical trials. As part of our design process, we carried out a dose range finding study in NHPs. There were no clinical safety observations and no histopathology findings in any of the animals in the study.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Preclinical Activity Assessment of Triple Inhibition in IBD </w:t>
      </w:r>
    </w:p>
    <w:p>
      <w:pPr>
        <w:pStyle w:val="TextBody"/>
        <w:bidi w:val="0"/>
        <w:spacing w:before="120" w:after="0"/>
        <w:jc w:val="both"/>
        <w:rPr>
          <w:rFonts w:ascii="Times New Roman" w:hAnsi="Times New Roman"/>
          <w:sz w:val="20"/>
        </w:rPr>
      </w:pPr>
      <w:r>
        <w:rPr>
          <w:rFonts w:ascii="Times New Roman" w:hAnsi="Times New Roman"/>
          <w:sz w:val="20"/>
        </w:rPr>
        <w:t xml:space="preserve">We tested the impact of inhibiting TL1A, IL-23 and integrin </w:t>
      </w:r>
      <w:r>
        <w:rPr>
          <w:rFonts w:ascii="SYMBOL" w:hAnsi="SYMBOL"/>
          <w:sz w:val="20"/>
        </w:rPr>
        <w:t>a</w:t>
      </w:r>
      <w:r>
        <w:rPr>
          <w:rFonts w:ascii="Times New Roman" w:hAnsi="Times New Roman"/>
          <w:sz w:val="20"/>
        </w:rPr>
        <w:t xml:space="preserve">4ß7 simultaneously and individually in a mouse model of dextran sulfate sodium (DSS)-induced colitis. While inhibition of each individual target reduced disease activity as measured by body weight loss and disease activity index, simultaneous inhibition of all three targets resulted in much deeper responses (Figure 38). This supports our hypothesis that triple inhibition of TL1A, IL-23 and integrin </w:t>
      </w:r>
      <w:r>
        <w:rPr>
          <w:rFonts w:ascii="SYMBOL" w:hAnsi="SYMBOL"/>
          <w:sz w:val="20"/>
        </w:rPr>
        <w:t>a</w:t>
      </w:r>
      <w:r>
        <w:rPr>
          <w:rFonts w:ascii="Times New Roman" w:hAnsi="Times New Roman"/>
          <w:sz w:val="20"/>
        </w:rPr>
        <w:t xml:space="preserve">4ß7 will result in deeper efficacy in a disease setting, compared to monospecific biologics.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b/>
          <w:i/>
          <w:sz w:val="20"/>
        </w:rPr>
        <w:t>Figure 38: Triple Blockade Activity in Chronic DSS-Induced Colitis Mouse Model</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1040" cy="2537460"/>
            <wp:effectExtent l="0" t="0" r="0" b="0"/>
            <wp:docPr id="4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0" descr=""/>
                    <pic:cNvPicPr>
                      <a:picLocks noChangeAspect="1" noChangeArrowheads="1"/>
                    </pic:cNvPicPr>
                  </pic:nvPicPr>
                  <pic:blipFill>
                    <a:blip r:embed="rId41"/>
                    <a:stretch>
                      <a:fillRect/>
                    </a:stretch>
                  </pic:blipFill>
                  <pic:spPr bwMode="auto">
                    <a:xfrm>
                      <a:off x="0" y="0"/>
                      <a:ext cx="5781040" cy="253746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16"/>
        </w:rPr>
      </w:pPr>
      <w:r>
        <w:rPr>
          <w:rFonts w:ascii="Times New Roman" w:hAnsi="Times New Roman"/>
          <w:b/>
          <w:sz w:val="16"/>
        </w:rPr>
        <w:t xml:space="preserve">Triple antigen blockade achieves improved activity vs. monospecific blockade in a mouse model of chronic colitis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Further Development </w:t>
      </w:r>
    </w:p>
    <w:p>
      <w:pPr>
        <w:pStyle w:val="TextBody"/>
        <w:bidi w:val="0"/>
        <w:spacing w:before="120" w:after="0"/>
        <w:jc w:val="both"/>
        <w:rPr>
          <w:rFonts w:ascii="Times New Roman" w:hAnsi="Times New Roman"/>
          <w:sz w:val="20"/>
        </w:rPr>
      </w:pPr>
      <w:r>
        <w:rPr>
          <w:rFonts w:ascii="Times New Roman" w:hAnsi="Times New Roman"/>
          <w:sz w:val="20"/>
        </w:rPr>
        <w:t xml:space="preserve">GMP manufacturing process development and GLP toxicology studies for ATTO-1091 are ongoing. We expect to commence a randomized, placebo-controlled Phase 1 clinical trial for ATTO-1091 in the first half of 2027 and report initial results from healthy volunteers in the second half of 2027. </w:t>
      </w:r>
    </w:p>
    <w:p>
      <w:pPr>
        <w:pStyle w:val="TextBody"/>
        <w:bidi w:val="0"/>
        <w:spacing w:before="360" w:after="0"/>
        <w:jc w:val="left"/>
        <w:rPr>
          <w:rFonts w:ascii="Times New Roman" w:hAnsi="Times New Roman"/>
          <w:b/>
          <w:sz w:val="20"/>
        </w:rPr>
      </w:pPr>
      <w:r>
        <w:rPr>
          <w:rFonts w:ascii="Times New Roman" w:hAnsi="Times New Roman"/>
          <w:b/>
          <w:sz w:val="20"/>
        </w:rPr>
        <w:t xml:space="preserve">Our Discovery Programs </w:t>
      </w:r>
    </w:p>
    <w:p>
      <w:pPr>
        <w:pStyle w:val="TextBody"/>
        <w:bidi w:val="0"/>
        <w:spacing w:before="120" w:after="0"/>
        <w:jc w:val="both"/>
        <w:rPr>
          <w:rFonts w:ascii="Times New Roman" w:hAnsi="Times New Roman"/>
          <w:sz w:val="20"/>
        </w:rPr>
      </w:pPr>
      <w:r>
        <w:rPr>
          <w:rFonts w:ascii="Times New Roman" w:hAnsi="Times New Roman"/>
          <w:sz w:val="20"/>
        </w:rPr>
        <w:t xml:space="preserve">The ATTOBODY platform is a robust discovery engine that has generated several additional complex biologic programs. Currently, we are pursuing the next generation of ATTOBODY-based treatments. These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b/>
                <w:i/>
                <w:sz w:val="20"/>
              </w:rPr>
              <w:t>ATTO-006</w:t>
            </w:r>
            <w:r>
              <w:rPr>
                <w:rFonts w:ascii="Times New Roman" w:hAnsi="Times New Roman"/>
                <w:sz w:val="20"/>
              </w:rPr>
              <w:t xml:space="preserve">, a conditional “AND” gated bispecific tissue resident memory T cell (Trm) survival blocker utilizing a Trm specific anchor arm and a survival blocking arm, where the survival blocking arm becomes engaged and active only when the anchor arm is bound. We believe this program has the potential for broad applicability across immune mediated diseases, including rheumatology, IBD and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b/>
                <w:i/>
                <w:sz w:val="20"/>
              </w:rPr>
              <w:t>ATTO-007</w:t>
            </w:r>
            <w:r>
              <w:rPr>
                <w:rFonts w:ascii="Times New Roman" w:hAnsi="Times New Roman"/>
                <w:sz w:val="20"/>
              </w:rPr>
              <w:t xml:space="preserve">, a conditional “AND” gated bispecific immune cell survival blocker targeting a non-T cell population and utilizing a similar concept to ATTO-006 of a cell-specific anchor arm and a broader survival blocking arm.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b/>
                <w:i/>
                <w:sz w:val="20"/>
              </w:rPr>
              <w:t>ATTO-008</w:t>
            </w:r>
            <w:r>
              <w:rPr>
                <w:rFonts w:ascii="Times New Roman" w:hAnsi="Times New Roman"/>
                <w:sz w:val="20"/>
              </w:rPr>
              <w:t xml:space="preserve">, a tri- or tetra-specific multi-alarmin blocker with planned development in respiratory disease, including potentially Th2 low asthma and chronic obstructive pulmonary disease.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License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Alamar Platform License Agreement </w:t>
      </w:r>
    </w:p>
    <w:p>
      <w:pPr>
        <w:pStyle w:val="TextBody"/>
        <w:bidi w:val="0"/>
        <w:spacing w:before="120" w:after="0"/>
        <w:jc w:val="both"/>
        <w:rPr>
          <w:rFonts w:ascii="Times New Roman" w:hAnsi="Times New Roman"/>
          <w:sz w:val="20"/>
        </w:rPr>
      </w:pPr>
      <w:r>
        <w:rPr>
          <w:rFonts w:ascii="Times New Roman" w:hAnsi="Times New Roman"/>
          <w:sz w:val="20"/>
        </w:rPr>
        <w:t xml:space="preserve">We are party to a license agreement with Alamar, originally executed on June 1, 2023, subsequently amended and restated on October 9, 2024 and again on April 22, 2025 (as amended, the Alamar Platform License Agreement). Under the License Agreement, Alamar granted us a worldwide, non-transferable, sublicensable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license to use the antibody engineering platform developed by or on behalf of Alamar (the ATTOBODY Platform) within the therapeutic field (the Alamar License). The Alamar License allows us to identify new molecules or gene codes, research, develop, manufacture, and commercialize new or existing molecules or gene codes identified using the ATTOBODY Platform (Products), and to develop improvements to the ATTOBODY Platform. This license is exclusive in the therapeutic field with respect to Alamar patents and patent applications, and non-exclusive with respect to Alamar know-how. </w:t>
      </w:r>
    </w:p>
    <w:p>
      <w:pPr>
        <w:pStyle w:val="TextBody"/>
        <w:bidi w:val="0"/>
        <w:spacing w:before="240" w:after="0"/>
        <w:jc w:val="both"/>
        <w:rPr>
          <w:rFonts w:ascii="Times New Roman" w:hAnsi="Times New Roman"/>
          <w:sz w:val="20"/>
        </w:rPr>
      </w:pPr>
      <w:r>
        <w:rPr>
          <w:rFonts w:ascii="Times New Roman" w:hAnsi="Times New Roman"/>
          <w:sz w:val="20"/>
        </w:rPr>
        <w:t xml:space="preserve">In connection with the execution of the Alamar Platform License Agreement, on June 1, 2023, we issued 2,428,646 shares of our common stock to Alamar as consideration for the Alamar License. The Alamar Platform License Agreement requires us to pay Alamar up to $4.3 million per Product in aggregate milestone payments upon the completion of certain clinical and regulatory milestones. The Alamar Platform License Agreement also requires that we pay Alamar tiered royalties in low single digit percentages on net sales of Products on a Product-by-Product basis, subject to certain deductions, provided that if no valid claim covers a Product in a country, then the royalty percentage applicable to net sales in such country shall be reduced to percentages also in the low single digits. </w:t>
      </w:r>
    </w:p>
    <w:p>
      <w:pPr>
        <w:pStyle w:val="TextBody"/>
        <w:bidi w:val="0"/>
        <w:spacing w:before="240" w:after="0"/>
        <w:jc w:val="both"/>
        <w:rPr>
          <w:rFonts w:ascii="Times New Roman" w:hAnsi="Times New Roman"/>
          <w:sz w:val="20"/>
        </w:rPr>
      </w:pPr>
      <w:r>
        <w:rPr>
          <w:rFonts w:ascii="Times New Roman" w:hAnsi="Times New Roman"/>
          <w:sz w:val="20"/>
        </w:rPr>
        <w:t xml:space="preserve">We may terminate the Alamar Platform License Agreement for convenience following a notice period and either party may terminate the Alamar Platform License Agreement for bankruptcy or an uncured material breach. Alamar may also terminate the Alamar Platform License Agreement after a notice period if we challenge certain of its patent rights in the ATTOBODY Platform or Products. Upon the termination of the Alamar Platform License Agreement (other than a termination by Alamar for our bankruptcy), the licenses granted to Attovia by Alamar will expire, provided that we may continue to exploit Products, subject to ongoing compliance with the surviving provisions of the Alamar Platform License Agreement, including applicable milestone and royalty payments.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both"/>
        <w:rPr>
          <w:rFonts w:ascii="Times New Roman" w:hAnsi="Times New Roman"/>
          <w:sz w:val="20"/>
        </w:rPr>
      </w:pPr>
      <w:r>
        <w:rPr>
          <w:rFonts w:ascii="Times New Roman" w:hAnsi="Times New Roman"/>
          <w:sz w:val="20"/>
        </w:rPr>
        <w:t xml:space="preserve">Intellectual property is of vital importance in our field and in biotechnology generally. We seek to protect and enhance proprietary technology, inventions, and improvements that are commercially important to the development of our business by seeking, maintaining, and defending patent rights, whether developed internally or licensed from third parties. We will also seek to rely on regulatory protection afforded through inclusion in expedited development and review, data exclusivity, market exclusivity and patent term extensions where available. </w:t>
      </w:r>
    </w:p>
    <w:p>
      <w:pPr>
        <w:pStyle w:val="TextBody"/>
        <w:bidi w:val="0"/>
        <w:spacing w:before="240" w:after="0"/>
        <w:jc w:val="both"/>
        <w:rPr>
          <w:rFonts w:ascii="Times New Roman" w:hAnsi="Times New Roman"/>
          <w:sz w:val="20"/>
        </w:rPr>
      </w:pPr>
      <w:r>
        <w:rPr>
          <w:rFonts w:ascii="Times New Roman" w:hAnsi="Times New Roman"/>
          <w:sz w:val="20"/>
        </w:rPr>
        <w:t xml:space="preserve">We have sought patent protection in the United States and internationally related to the proprietary programs and technologies that we believe are important to our business, including compositions of matter of our programs, their methods of use, related technologies, diagnostics, and other inventions and improvements that are central to our research and development efforts. In addition, we intend to seek additional patent protection which may enhance commercial success to the extent warranted by future developments. </w:t>
      </w:r>
    </w:p>
    <w:p>
      <w:pPr>
        <w:pStyle w:val="TextBody"/>
        <w:bidi w:val="0"/>
        <w:spacing w:before="240" w:after="0"/>
        <w:jc w:val="both"/>
        <w:rPr>
          <w:rFonts w:ascii="Times New Roman" w:hAnsi="Times New Roman"/>
          <w:sz w:val="20"/>
        </w:rPr>
      </w:pPr>
      <w:r>
        <w:rPr>
          <w:rFonts w:ascii="Times New Roman" w:hAnsi="Times New Roman"/>
          <w:sz w:val="20"/>
        </w:rPr>
        <w:t xml:space="preserve">As of June 30, 2026, our intellectual property portfolio contained owned and in-licensed cases and contains multiple pending U.S. and foreign national applications, including provisional and national applications pending in the United States, China, Europe and Japan. These patent applications are expected to expire, when granted after examination or filed as PCT and/or U.S. non-provisional applications, between 2041 and 2047, excluding any patent term adjustments or extensions.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ATTO-1310 Program (IL-31) </w:t>
      </w:r>
    </w:p>
    <w:p>
      <w:pPr>
        <w:pStyle w:val="TextBody"/>
        <w:bidi w:val="0"/>
        <w:spacing w:before="120" w:after="0"/>
        <w:jc w:val="both"/>
        <w:rPr>
          <w:rFonts w:ascii="Times New Roman" w:hAnsi="Times New Roman"/>
          <w:sz w:val="20"/>
        </w:rPr>
      </w:pPr>
      <w:r>
        <w:rPr>
          <w:rFonts w:ascii="Times New Roman" w:hAnsi="Times New Roman"/>
          <w:sz w:val="20"/>
        </w:rPr>
        <w:t xml:space="preserve">As of June 30, 2026, we own one patent family covering various aspects of ATTO-1310. U.S. Patent No. 12,509,510, has issued from this family having composition of matter claims specifically covering ATTO-1310. In addition, two U.S. nonprovisional and a Patent Cooperation Treaty (PCT) application are pending having claims directed to IL-31 binder polypeptides, consensus CDRs of the same, nucleic acids encoding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polypeptides, methods of making the polypeptides, and methods of using the polypeptides. Any patents issuing from this patent family are expected to expire in 2045, without taking into account any patent term adjustments, extensions or terminal disclaimers, and assuming payment of all appropriate maintenance fees.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ATTO-2306 Program (IL-31 x IL-13) </w:t>
      </w:r>
    </w:p>
    <w:p>
      <w:pPr>
        <w:pStyle w:val="TextBody"/>
        <w:bidi w:val="0"/>
        <w:spacing w:before="120" w:after="0"/>
        <w:jc w:val="both"/>
        <w:rPr>
          <w:rFonts w:ascii="Times New Roman" w:hAnsi="Times New Roman"/>
          <w:sz w:val="20"/>
        </w:rPr>
      </w:pPr>
      <w:r>
        <w:rPr>
          <w:rFonts w:ascii="Times New Roman" w:hAnsi="Times New Roman"/>
          <w:sz w:val="20"/>
        </w:rPr>
        <w:t xml:space="preserve">As of June 30, 2026, we own one patent family covering the IL-31 binder polypeptide of ATTO-2306. U.S. Patent No. 12,509,510, has issued from this family having composition of matter claims covering the IL-31 binder polypeptide of ATTO-2306. In addition, two U.S. nonprovisional and a Patent Cooperation Treaty (PCT) application are pending having claims directed to IL-31 binder polypeptides, nucleic acids encoding the polypeptides, methods of making the polypeptides, and methods of using the polypeptides. Any patents issuing from this patent family are expected to expire in 2045, without taking into account any patent term adjustments, extensions or terminal disclaimers, and assuming payment of all appropriate maintenance fees. We recently filed a second patent family covering various aspects of ATTO-2306. Two U.S. provisional patent applications are pending having claims to the IL-31 x IL-13 binder polypeptide of ATTO-2306, nucleic acids encoding the polypeptide, methods of making the polypeptide and methods of using the polypeptide. Any patents issuing from this second patent family are expected to expire in 2047, without taking into account any patent term adjustments, extensions or terminal disclaimers, and assuming payment of all appropriate maintenance fees. </w:t>
      </w:r>
    </w:p>
    <w:p>
      <w:pPr>
        <w:pStyle w:val="TextBody"/>
        <w:bidi w:val="0"/>
        <w:spacing w:before="360" w:after="0"/>
        <w:jc w:val="left"/>
        <w:rPr>
          <w:rFonts w:ascii="Times New Roman" w:hAnsi="Times New Roman"/>
          <w:sz w:val="20"/>
        </w:rPr>
      </w:pPr>
      <w:r>
        <w:rPr>
          <w:rFonts w:ascii="Times New Roman" w:hAnsi="Times New Roman"/>
          <w:b/>
          <w:i/>
          <w:sz w:val="20"/>
        </w:rPr>
        <w:t xml:space="preserve">ATTO-1091 Program (TL1A x IL-23 x </w:t>
      </w:r>
      <w:r>
        <w:rPr>
          <w:rFonts w:ascii="Times New Roman" w:hAnsi="Times New Roman"/>
          <w:sz w:val="20"/>
        </w:rPr>
        <w:t>α</w:t>
      </w:r>
      <w:r>
        <w:rPr>
          <w:rFonts w:ascii="Times New Roman" w:hAnsi="Times New Roman"/>
          <w:b/>
          <w:i/>
          <w:sz w:val="20"/>
        </w:rPr>
        <w:t xml:space="preserve">4ß7) </w:t>
      </w:r>
    </w:p>
    <w:p>
      <w:pPr>
        <w:pStyle w:val="TextBody"/>
        <w:bidi w:val="0"/>
        <w:spacing w:before="120" w:after="0"/>
        <w:jc w:val="both"/>
        <w:rPr>
          <w:rFonts w:ascii="Times New Roman" w:hAnsi="Times New Roman"/>
          <w:sz w:val="20"/>
        </w:rPr>
      </w:pPr>
      <w:r>
        <w:rPr>
          <w:rFonts w:ascii="Times New Roman" w:hAnsi="Times New Roman"/>
          <w:sz w:val="20"/>
        </w:rPr>
        <w:t xml:space="preserve">As of June 30, 2026, we own four patent families covering various aspects of ATTO-1091. One family is directed to the TL1A binder polypeptide of ATTO-1091. Four U.S. provisional applications are pending having claims to the TL1A binder polypeptide of ATTO-1091, consensus CDRs of the same, nucleic acids encoding the polypeptides, methods of making the polypeptides, and methods of using the polypeptides. We also own a second patent family directed to the TL1A x a4ß7 binder polypeptides of ATTO-1091. Two U.S. provisional applications are pending having claims to the TL1A x a4ß7 binder polypeptides of ATTO-1091, nucleic acids encoding the polypeptides, methods of making the polypeptides, and methods of using the polypeptides. We also own a third patent family directed to IL-23p19 binder polypeptides, IL-23p19 x TL1A binder polypeptides, and IL-23p19 x a4ß7 binder polypeptides of ATTO-1091. Two U.S. provisional applications are pending having claims to the IL-23p19 binder polypeptides, IL-23p19 x TL1A binder polypeptides, IL-23p19 x a4ß7 binder polypeptides, nucleic acids encoding the polypeptides, methods of making the polypeptides, and methods of using the polypeptides. Finally, we own a fourth patent family directed to ATTO-1091 (TL1A x IL-23 x a4ß7). Two U.S. provisional applications are pending having claims to ATTO-1091, nucleic acids encoding ATTO-1091, methods of making ATTO-1091, and methods of using ATTO-1091. Any patents issuing from the patent families are expected to expire in 2046, without taking into account any patent term adjustments, extensions or terminal disclaimers, and assuming payment of all appropriate maintenance fees.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Platform Technology and Discovery Program </w:t>
      </w:r>
    </w:p>
    <w:p>
      <w:pPr>
        <w:pStyle w:val="TextBody"/>
        <w:bidi w:val="0"/>
        <w:spacing w:before="120" w:after="0"/>
        <w:jc w:val="both"/>
        <w:rPr>
          <w:rFonts w:ascii="Times New Roman" w:hAnsi="Times New Roman"/>
          <w:sz w:val="20"/>
        </w:rPr>
      </w:pPr>
      <w:r>
        <w:rPr>
          <w:rFonts w:ascii="Times New Roman" w:hAnsi="Times New Roman"/>
          <w:sz w:val="20"/>
        </w:rPr>
        <w:t xml:space="preserve">As of June 30, 2026, we have in-licensed one platform patent family to a co-binder comprising two binding moieties, wherein the binding moieties are connected by a linker, nucleic acids encoding the co-binder, methods of making the co-binder, and methods of using the co-binder. The patent family includes a U.S. application, a European application, a Chinese application, and a Japanese application. Any patents issuing from these applications, once granted, are expected to expire in 2041, without taking into account any potential patent term adjustment, terminal disclaimer or future extension. </w:t>
      </w:r>
    </w:p>
    <w:p>
      <w:pPr>
        <w:pStyle w:val="TextBody"/>
        <w:bidi w:val="0"/>
        <w:spacing w:before="240" w:after="0"/>
        <w:jc w:val="both"/>
        <w:rPr>
          <w:rFonts w:ascii="Times New Roman" w:hAnsi="Times New Roman"/>
          <w:sz w:val="20"/>
        </w:rPr>
      </w:pPr>
      <w:r>
        <w:rPr>
          <w:rFonts w:ascii="Times New Roman" w:hAnsi="Times New Roman"/>
          <w:sz w:val="20"/>
        </w:rPr>
        <w:t xml:space="preserve">We expect to file additional patent applications in support of current and future clinical candidates as well as new platform and core technologies. </w:t>
      </w:r>
    </w:p>
    <w:p>
      <w:pPr>
        <w:pStyle w:val="TextBody"/>
        <w:bidi w:val="0"/>
        <w:spacing w:before="240" w:after="0"/>
        <w:jc w:val="both"/>
        <w:rPr>
          <w:rFonts w:ascii="Times New Roman" w:hAnsi="Times New Roman"/>
          <w:sz w:val="20"/>
        </w:rPr>
      </w:pPr>
      <w:r>
        <w:rPr>
          <w:rFonts w:ascii="Times New Roman" w:hAnsi="Times New Roman"/>
          <w:sz w:val="20"/>
        </w:rPr>
        <w:t xml:space="preserve">Our commercial success will depend in part on obtaining and maintaining patent protection on our current and future product candidates and their related methods of use, as well as successfully defending any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patents against third-party challenges and operating without infringing on the proprietary rights of others. Our ability to stop third parties from making, using, selling, offering to sell or importing our product candidates will depend, in part, on the extent to which we have rights under valid and enforceable patents that cover these activities. The development of our therapeutic candidates is at a relatively early stage, and as a consequence, our patent portfolio is also at an early stage. We cannot be sure that patents will be granted with respect to any of our pending patent applications or with respect to any patent applications filed by us in the future, nor can we be sure that any patents that may be granted to us in the future will be commercially useful in protecting our product candidates, discovery programs and processes. For this and more comprehensive risks related to intellectual property, please see the section titled “Risk Factors—Risks Related to Intellectual Property.” </w:t>
      </w:r>
    </w:p>
    <w:p>
      <w:pPr>
        <w:pStyle w:val="TextBody"/>
        <w:bidi w:val="0"/>
        <w:spacing w:before="240" w:after="0"/>
        <w:jc w:val="both"/>
        <w:rPr>
          <w:rFonts w:ascii="Times New Roman" w:hAnsi="Times New Roman"/>
          <w:sz w:val="20"/>
        </w:rPr>
      </w:pPr>
      <w:r>
        <w:rPr>
          <w:rFonts w:ascii="Times New Roman" w:hAnsi="Times New Roman"/>
          <w:sz w:val="20"/>
        </w:rPr>
        <w:t xml:space="preserve">The terms of individual patents depend upon the legal term of the patents in the countries in which they are obtained. In most countries in which we file, including the United States, the patent term is 20 years from the earliest date of filing a non-provisional patent application. In the United States, a patent’s term may be lengthened by patent term adjustment, which compensates a patentee for administrative delays by the USPTO in examining and granting a patent, or may be shortened if a patent is terminally disclaimed over an earlier filed patent. In the United States, the term of a patent that covers a drug approved by the U.S. Food and Drug Administration (FDA) may also be eligible for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subject drug candidate is under regulatory review.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Similar provisions to extend the term of a patent that covers an approved drug are available in Europe and certain foreign jurisdictions.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 that the applicable authorities, including the FDA in the United States, will agree with our assessment that such extensions should be granted, and if granted, the length of such extensions. For more information regarding the risks related to intellectual property, see the section titled “Risk Factors—Risks Related to Intellectual Property.” </w:t>
      </w:r>
    </w:p>
    <w:p>
      <w:pPr>
        <w:pStyle w:val="TextBody"/>
        <w:bidi w:val="0"/>
        <w:spacing w:before="240" w:after="0"/>
        <w:jc w:val="both"/>
        <w:rPr>
          <w:rFonts w:ascii="Times New Roman" w:hAnsi="Times New Roman"/>
          <w:sz w:val="20"/>
        </w:rPr>
      </w:pPr>
      <w:r>
        <w:rPr>
          <w:rFonts w:ascii="Times New Roman" w:hAnsi="Times New Roman"/>
          <w:sz w:val="20"/>
        </w:rPr>
        <w:t xml:space="preserve">In most instances, we have submitted and expect to submit patent applications directly to the USPTO as provisional patent applications. Corresponding non-provisional patent applications and/or PCT applications must be filed not later than 12 months after the provisional application filing date. While we intend to timely file non-provisional patent applications and/or PCT applications relating to our provisional patent applications, we cannot predict whether any such patent applications will result in the issuance of patents that provide us with any competitive advantage. </w:t>
      </w:r>
    </w:p>
    <w:p>
      <w:pPr>
        <w:pStyle w:val="TextBody"/>
        <w:bidi w:val="0"/>
        <w:spacing w:before="240" w:after="0"/>
        <w:jc w:val="both"/>
        <w:rPr>
          <w:rFonts w:ascii="Times New Roman" w:hAnsi="Times New Roman"/>
          <w:sz w:val="20"/>
        </w:rPr>
      </w:pPr>
      <w:r>
        <w:rPr>
          <w:rFonts w:ascii="Times New Roman" w:hAnsi="Times New Roman"/>
          <w:sz w:val="20"/>
        </w:rPr>
        <w:t xml:space="preserve">We file U.S. non-provisional applications and PCT applications that claim the benefit of the priority date of earlier filed provisional applications, when applicable. The PCT system allows an international patent application to be filed within 12 months of the filing date of each provisional application, and to designate all of the PCT member states in which national patent applications can later be pursued based on the international patent application filed under the PCT. The PCT searching authority performs a patentability search and issues a non-binding patentability opinion which can be used to evaluate the chances of success for the national applications in foreign countries prior to having to incur the filing fees. Although a PCT application does not issue as a patent, it allows the applicant to seek protection in any of the member states through national-phase applications. Before the end of the period of approximately two and a half years from the first priority date of the patent application, separate patent applications can be pursued in any of the PCT member states either by direct national filing or, in some cases, by filing through a regional patent organization, such as the European Patent Office. The PCT system delays expenses, allows a limited evaluation of the chances of success for national/regional patent applications, and enables substantial savings where applications are abandoned within the first two and a half years of filing.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For all patent applications, we determine claiming strategy on a case-by-case basis. Advice of counsel and our business model and needs are always considered. We seek to file patents containing claims for protection of all useful applications of our proprietary technologies and any products, as well as all new applications and/or uses we discover for existing technologies and products, assuming these are strategically valuable. We continuously reassess the number and type of patent applications, as well as the pending and issued patent claims to pursue maximum coverage and value for our processes, and compositions, given existing patent office rules and regulations. Further, claims may be modified during patent prosecution to meet our intellectual property and business needs. </w:t>
      </w:r>
    </w:p>
    <w:p>
      <w:pPr>
        <w:pStyle w:val="TextBody"/>
        <w:bidi w:val="0"/>
        <w:spacing w:before="240" w:after="0"/>
        <w:jc w:val="both"/>
        <w:rPr>
          <w:rFonts w:ascii="Times New Roman" w:hAnsi="Times New Roman"/>
          <w:sz w:val="20"/>
        </w:rPr>
      </w:pPr>
      <w:r>
        <w:rPr>
          <w:rFonts w:ascii="Times New Roman" w:hAnsi="Times New Roman"/>
          <w:sz w:val="20"/>
        </w:rPr>
        <w:t xml:space="preserve">We recognize that the ability to obtain patent protection and the degree of such protection depends on a number of factors, including the extent of the prior art, the novelty and non-obviousness of the invention, and the ability to satisfy the enablement requirement of the patent laws. In addition, the coverage claimed in a patent application can be significantly reduced before the patent is issued, and its scope can be reinterpreted or further altered even after patent issuance. Consequently, we may not obtain or maintain adequate patent protection for any of our future product candidates or for our technology platform.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 </w:t>
      </w:r>
    </w:p>
    <w:p>
      <w:pPr>
        <w:pStyle w:val="TextBody"/>
        <w:bidi w:val="0"/>
        <w:spacing w:before="240" w:after="0"/>
        <w:jc w:val="both"/>
        <w:rPr>
          <w:rFonts w:ascii="Times New Roman" w:hAnsi="Times New Roman"/>
          <w:sz w:val="20"/>
        </w:rPr>
      </w:pPr>
      <w:r>
        <w:rPr>
          <w:rFonts w:ascii="Times New Roman" w:hAnsi="Times New Roman"/>
          <w:sz w:val="20"/>
        </w:rPr>
        <w:t xml:space="preserve">In addition to patent protection, we also rely on trademark registration, trade secrets, know how, other proprietary information and continuing technological innovation to develop and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trade secrets, know-how and inventions. For more information regarding the risks related to our intellectual property, see the section titled “Risk Factors—Risks Related to Intellectual Property.” </w:t>
      </w:r>
    </w:p>
    <w:p>
      <w:pPr>
        <w:pStyle w:val="TextBody"/>
        <w:bidi w:val="0"/>
        <w:spacing w:before="240" w:after="0"/>
        <w:jc w:val="both"/>
        <w:rPr>
          <w:rFonts w:ascii="Times New Roman" w:hAnsi="Times New Roman"/>
          <w:sz w:val="20"/>
        </w:rPr>
      </w:pPr>
      <w:r>
        <w:rPr>
          <w:rFonts w:ascii="Times New Roman" w:hAnsi="Times New Roman"/>
          <w:sz w:val="20"/>
        </w:rPr>
        <w:t xml:space="preserve">The patent positions of biotechnology and pharmaceutical companies like ours are generally uncertain and involve complex legal, scientific and factual questions. Our commercial success will also depend in part on not infringing upon the proprietary rights of third parties. Third-party patents could require us to alter our development or commercial strategies, or our products or processes, obtain licenses or cease certain activities. Our breach of any license agreements or our failure to obtain a license to proprietary rights required to develop or commercialize our future products may have a material adverse impact on us. If third parties prepare and file patent applications in the United States that also claim technology to which we have rights, we may have to participate in interference or derivation proceedings in the USPTO to determine priority of invention. For more information, see the section titled “Risk Factors—Risks Related to Intellectual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When available to expand market exclusivity, our strategy is to obtain or license additional intellectual property related to current or contemplated development platforms, core elements of technology and/or clinical candidates.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 </w:t>
      </w:r>
    </w:p>
    <w:p>
      <w:pPr>
        <w:pStyle w:val="TextBody"/>
        <w:bidi w:val="0"/>
        <w:spacing w:before="120" w:after="0"/>
        <w:jc w:val="both"/>
        <w:rPr>
          <w:rFonts w:ascii="Times New Roman" w:hAnsi="Times New Roman"/>
          <w:sz w:val="20"/>
        </w:rPr>
      </w:pPr>
      <w:r>
        <w:rPr>
          <w:rFonts w:ascii="Times New Roman" w:hAnsi="Times New Roman"/>
          <w:sz w:val="20"/>
        </w:rPr>
        <w:t xml:space="preserve">Government authorities in the United States, at the federal, state and local level, and in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FDA Review and Approval Process </w:t>
      </w:r>
    </w:p>
    <w:p>
      <w:pPr>
        <w:pStyle w:val="TextBody"/>
        <w:bidi w:val="0"/>
        <w:spacing w:before="120" w:after="0"/>
        <w:jc w:val="both"/>
        <w:rPr>
          <w:rFonts w:ascii="Times New Roman" w:hAnsi="Times New Roman"/>
          <w:sz w:val="20"/>
        </w:rPr>
      </w:pPr>
      <w:r>
        <w:rPr>
          <w:rFonts w:ascii="Times New Roman" w:hAnsi="Times New Roman"/>
          <w:sz w:val="20"/>
        </w:rPr>
        <w:t xml:space="preserve">In the United States, pharmaceutical products are subject to extensive regulation by the FDA. The Federal Food, Drug, and Cosmetic Act (FDC Act), the Public Health Service Act (PHS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Biological products used for the prevention, treatment, or cure of a disease or condition of a human being are subject to regulation under the FDC Act, except the section of the FDC Act which governs the approval of New Drug Applications (NDAs). Biological products are approved for marketing under provisions of the PHS Act, via a Biologics License Application (BLA). However, the application process and requirements for approval of BLAs are very similar to those for NDAs. Failure to comply with applicable U.S. requirements may subject a company to a variety of administrative or judicial sanctions, such as a clinical hold, FDA refusal to approve a pending BLA, warning or untitled letters, product recalls, product seizures, total or partial suspension of production or distribution, injunctions, fines, civil penalties, and criminal prosecution. </w:t>
      </w:r>
    </w:p>
    <w:p>
      <w:pPr>
        <w:pStyle w:val="TextBody"/>
        <w:bidi w:val="0"/>
        <w:spacing w:before="240" w:after="0"/>
        <w:jc w:val="both"/>
        <w:rPr>
          <w:rFonts w:ascii="Times New Roman" w:hAnsi="Times New Roman"/>
          <w:sz w:val="20"/>
        </w:rPr>
      </w:pPr>
      <w:r>
        <w:rPr>
          <w:rFonts w:ascii="Times New Roman" w:hAnsi="Times New Roman"/>
          <w:sz w:val="20"/>
        </w:rPr>
        <w:t xml:space="preserve">Biological product development for a new product or certain changes to an approved product in the United States typically involves laboratory and animal studies (referred to as preclinical studies), the submission to the FDA of an Investigational New Drug Application (IND), which must become effective before clinical testing may commence,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Preclinical Studies </w:t>
      </w:r>
    </w:p>
    <w:p>
      <w:pPr>
        <w:pStyle w:val="TextBody"/>
        <w:bidi w:val="0"/>
        <w:spacing w:before="120" w:after="0"/>
        <w:jc w:val="both"/>
        <w:rPr>
          <w:rFonts w:ascii="Times New Roman" w:hAnsi="Times New Roman"/>
          <w:sz w:val="20"/>
        </w:rPr>
      </w:pPr>
      <w:r>
        <w:rPr>
          <w:rFonts w:ascii="Times New Roman" w:hAnsi="Times New Roman"/>
          <w:sz w:val="20"/>
        </w:rPr>
        <w:t xml:space="preserve">Preclinical studies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practices. The results of preclinical testing are submitted to the FDA as part of an IND along with other information, including information about product chemistry, manufacturing, and controls (CMC) and a proposed clinical trial protocol. Long-term preclinical tests, such as animal tests of reproductive toxicity and carcinogenicity, may continue after the IND is submitted. An IND automatically becomes effective 30 days after receipt by the FDA, unless before that time the FDA raises concerns or questions related to one or more proposed clinical trials and places the trial on a clinical hold. In such a case, the IND sponsor and the FDA must resolve any outstanding concerns before the clinical trial can begin. The FDA may impose a partial or full clinical hold. A partial clinical hold is a delay or suspension of fewer than all clinical trials subject to the IND, or certain parts of a clinical trial. Submission of an IND therefore may or may not result in FDA authorization to begin a clinical trial.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Clinical Trials </w:t>
      </w:r>
    </w:p>
    <w:p>
      <w:pPr>
        <w:pStyle w:val="TextBody"/>
        <w:bidi w:val="0"/>
        <w:spacing w:before="120" w:after="0"/>
        <w:jc w:val="both"/>
        <w:rPr>
          <w:rFonts w:ascii="Times New Roman" w:hAnsi="Times New Roman"/>
          <w:sz w:val="20"/>
        </w:rPr>
      </w:pPr>
      <w:r>
        <w:rPr>
          <w:rFonts w:ascii="Times New Roman" w:hAnsi="Times New Roman"/>
          <w:sz w:val="20"/>
        </w:rPr>
        <w:t xml:space="preserve">Clinical trials involve the administration of the investigational biologic to subjects including healthy volunteers or patients under the supervision of a qualified investigator. Clinical trials must be conducted: (i) in compliance with federal regulations; (ii) in compliance with good clinical practices (GCPs), which are standards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 While the IND is active, progress reports summarizing the results, if known, of the clinical trials and preclinical studies performed since the last progress report, among other information, must be submitted at least annually to the FDA, and written IND safety reports must be submitted to the FDA and investigators in certain circumstances. </w:t>
      </w:r>
    </w:p>
    <w:p>
      <w:pPr>
        <w:pStyle w:val="TextBody"/>
        <w:bidi w:val="0"/>
        <w:spacing w:before="240" w:after="0"/>
        <w:jc w:val="both"/>
        <w:rPr>
          <w:rFonts w:ascii="Times New Roman" w:hAnsi="Times New Roman"/>
          <w:sz w:val="20"/>
        </w:rPr>
      </w:pPr>
      <w:r>
        <w:rPr>
          <w:rFonts w:ascii="Times New Roman" w:hAnsi="Times New Roman"/>
          <w:sz w:val="20"/>
        </w:rPr>
        <w:t xml:space="preserve">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study protocol and informed consent information for patients in clinical trials must also be submitted to institutional review boards (IRB) overseeing clinical sites, for approval. An IRB may also require the clinical trial at the site to be halted, either temporarily or permanently, for a variety of reasons, including failure to comply with the IRB’s requirements or if there is a finding that patients are exposed to an unacceptable health risk, or may impose other conditions. Some studies also include oversight by an independent group of qualified experts organized by the clinical trial sponsor, which may be known as a data safety monitoring board. This group receives and reviews data from the clinical trial on an ongoing basis and may recommend continuation of the clinical trial as planned, changes in clinical trial conduct, or cessation of the clinical trial at designated check points based on such data. </w:t>
      </w:r>
    </w:p>
    <w:p>
      <w:pPr>
        <w:pStyle w:val="TextBody"/>
        <w:bidi w:val="0"/>
        <w:spacing w:before="240" w:after="0"/>
        <w:jc w:val="both"/>
        <w:rPr>
          <w:rFonts w:ascii="Times New Roman" w:hAnsi="Times New Roman"/>
          <w:sz w:val="20"/>
        </w:rPr>
      </w:pPr>
      <w:r>
        <w:rPr>
          <w:rFonts w:ascii="Times New Roman" w:hAnsi="Times New Roman"/>
          <w:sz w:val="20"/>
        </w:rPr>
        <w:t xml:space="preserve">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 BLA. The FDA will accept a well-designed and well-conducted foreign clinical trial not conducted under an IND if the clinical trial was conducted in accordance with GCPs and the FDA is able to validate the data through an onsite inspection if deemed necessary. </w:t>
      </w:r>
    </w:p>
    <w:p>
      <w:pPr>
        <w:pStyle w:val="TextBody"/>
        <w:bidi w:val="0"/>
        <w:spacing w:before="240" w:after="0"/>
        <w:jc w:val="both"/>
        <w:rPr>
          <w:rFonts w:ascii="Times New Roman" w:hAnsi="Times New Roman"/>
          <w:sz w:val="20"/>
        </w:rPr>
      </w:pPr>
      <w:r>
        <w:rPr>
          <w:rFonts w:ascii="Times New Roman" w:hAnsi="Times New Roman"/>
          <w:sz w:val="20"/>
        </w:rPr>
        <w:t xml:space="preserve">Clinical trials to support BLAs for marketing approval are typically conducted in three sequential phases, but the phases may be combined or overlap. In Phase 1, the initial introduction of the biologic into healthy volunteers or patients, the drug is tested to assess safety, dosage tolerance, metabolism, pharmacokinetics, pharmacological actions, side effects associated with drug exposure, and, if possible, early evidence on effectiveness. Phase 2 usually involves trials in a limited patient population to determine the effectiveness of the biologic for a particular indication, determine optimal dose and regimen, and to identify common adverse effects and safety risks. If a biologic demonstrates evidence of effectiveness and an acceptable safety profile in Phase 2 evaluations, Phase 3 trials are undertaken to obtain additional information about clinical efficacy and safety in a larger number of patients, typically at geographically dispersed clinical trial sites, to permit the FDA to evaluate the overall benefit-risk relationship of the biologic and to provide adequate information for the labeling of the product. </w:t>
      </w:r>
    </w:p>
    <w:p>
      <w:pPr>
        <w:pStyle w:val="TextBody"/>
        <w:bidi w:val="0"/>
        <w:spacing w:before="240" w:after="0"/>
        <w:jc w:val="both"/>
        <w:rPr>
          <w:rFonts w:ascii="Times New Roman" w:hAnsi="Times New Roman"/>
          <w:sz w:val="20"/>
        </w:rPr>
      </w:pPr>
      <w:r>
        <w:rPr>
          <w:rFonts w:ascii="Times New Roman" w:hAnsi="Times New Roman"/>
          <w:sz w:val="20"/>
        </w:rPr>
        <w:t xml:space="preserve">The FDA requires that a sponsor demonstrate that the biologic is safe for its intended use, there is substantial evidence of the biologic’s effectiveness and the biologic’s benefits outweigh its risks. Substantial evidence of effectiveness may be demonstrated by a single adequate and well-controlled trial, typically Phase 3, plus confirmatory evidence or by more than one adequate and well-controlled clinical trial. In the case of a single adequate and well-controlled clinical trial plus confirmatory evidence, the strength of the design, conduct, analysis and results of the single trial will affect the strength of confirmatory evidence needed to establish substantial evidence of effectiveness, with a general expectation for either a highly persuasive trial or a source of strong confirmatory evidence. FDA may exercise flexibility regarding the application of these standards based on clinical considerations such as disease severity, unmet need and disease rarity.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 manufacturer of an investigational product in a Phase 2 or Phase 3 clinical trial for a serious or life-threatening disease is required to make available, such as by posting on its website, its policy on evaluating and responding to requests for expanded access to such investigational drug. </w:t>
      </w:r>
    </w:p>
    <w:p>
      <w:pPr>
        <w:pStyle w:val="TextBody"/>
        <w:bidi w:val="0"/>
        <w:spacing w:before="240" w:after="0"/>
        <w:jc w:val="both"/>
        <w:rPr>
          <w:rFonts w:ascii="Times New Roman" w:hAnsi="Times New Roman"/>
          <w:sz w:val="20"/>
        </w:rPr>
      </w:pPr>
      <w:r>
        <w:rPr>
          <w:rFonts w:ascii="Times New Roman" w:hAnsi="Times New Roman"/>
          <w:sz w:val="20"/>
        </w:rPr>
        <w:t xml:space="preserve">Concurrent with clinical trials, companies may complete additional preclinical studies and also must develop additional information about the chemistry and physical characteristics of the drug or biologic as well as finalize a process for manufacturing the product in commercial quantities in accordance with current Good Manufacturing Practice (cGMP) requirements. The manufacturing process must be capable of consistently producing quality batches of the product and, among other things, companies must develop methods for testing the identity, strength, quality, potency, and purity of the final product. Additionally, appropriate packaging must be selected and tested, and stability studies must be conducted to demonstrate that the investigational medicines do not undergo unacceptable deterioration over their shelf life. </w:t>
      </w:r>
    </w:p>
    <w:p>
      <w:pPr>
        <w:pStyle w:val="TextBody"/>
        <w:bidi w:val="0"/>
        <w:spacing w:before="360" w:after="0"/>
        <w:jc w:val="left"/>
        <w:rPr>
          <w:rFonts w:ascii="Times New Roman" w:hAnsi="Times New Roman"/>
          <w:b/>
          <w:i/>
          <w:sz w:val="20"/>
        </w:rPr>
      </w:pPr>
      <w:r>
        <w:rPr>
          <w:rFonts w:ascii="Times New Roman" w:hAnsi="Times New Roman"/>
          <w:b/>
          <w:i/>
          <w:sz w:val="20"/>
        </w:rPr>
        <w:t xml:space="preserve">FDA Review Process </w:t>
      </w:r>
    </w:p>
    <w:p>
      <w:pPr>
        <w:pStyle w:val="TextBody"/>
        <w:bidi w:val="0"/>
        <w:spacing w:before="120" w:after="0"/>
        <w:jc w:val="both"/>
        <w:rPr>
          <w:rFonts w:ascii="Times New Roman" w:hAnsi="Times New Roman"/>
          <w:sz w:val="20"/>
        </w:rPr>
      </w:pPr>
      <w:r>
        <w:rPr>
          <w:rFonts w:ascii="Times New Roman" w:hAnsi="Times New Roman"/>
          <w:sz w:val="20"/>
        </w:rPr>
        <w:t xml:space="preserve">Assuming successful completion of all required testing in accordance with all applicable regulatory requirements, a BLA is prepared and submitted to the FDA. FDA approval of the BLA is required before marketing and distribution of the product may begin in the United States. The BLA must include the results of all preclinical, clinical, and other testing and a compilation of data relating to the product’s pharmacology and CMC. The cost of preparing and submitting a BLA is substantial. The submission of most BLAs is additionally subject to a substantial application user fee. Under an approved BLA, the applicant is also subject to an annual program fee. These fees typically increase annually. A BLA for a biologic that has been designated as an orphan drug is not subject to an application fee, unless the BLA includes an indication for other than a rare disease or condition. </w:t>
      </w:r>
    </w:p>
    <w:p>
      <w:pPr>
        <w:pStyle w:val="TextBody"/>
        <w:bidi w:val="0"/>
        <w:spacing w:before="240" w:after="0"/>
        <w:jc w:val="both"/>
        <w:rPr>
          <w:rFonts w:ascii="Times New Roman" w:hAnsi="Times New Roman"/>
          <w:sz w:val="20"/>
        </w:rPr>
      </w:pPr>
      <w:r>
        <w:rPr>
          <w:rFonts w:ascii="Times New Roman" w:hAnsi="Times New Roman"/>
          <w:sz w:val="20"/>
        </w:rPr>
        <w:t xml:space="preserve">The FDA has 60 days from its receipt of a BLA to conduct a preliminary review and determine whether the application will be filed based on the agency’s threshold determination that it is sufficiently complete to permit substantive review. If the FDA determines the application is incomplete because it does not on its face contain required information, the FDA may refuse to file the application and request additional information rather than file a BLA. In this event, the BLA must be resubmitted with the additional information. The resubmitted application also is subject to preliminary review before the FDA files it. Once the submission is filed, the FDA begins an in-depth review. The FDA has agreed to certain performance goals in the review of BLAs. Most applications are classified as Standard Review products that have a goal of being reviewed within ten months of the date the FDA files the BLA; applications classified as Priority Review have a goal of being reviewed within six months of the date the FDA files the BLA. A BLA can be classified for Priority Review when the FDA determines the biologic product candidate has the potential to treat a serious or life-threatening condition and, if approved, would be a significant improvement in safety or effectiveness compared to available therapies. The review process for both standard and priority reviews may be extended by the FDA for three or more additional months to consider information the FDA considers to be a major amendment to the BLA. </w:t>
      </w:r>
    </w:p>
    <w:p>
      <w:pPr>
        <w:pStyle w:val="TextBody"/>
        <w:bidi w:val="0"/>
        <w:spacing w:before="240" w:after="0"/>
        <w:jc w:val="both"/>
        <w:rPr>
          <w:rFonts w:ascii="Times New Roman" w:hAnsi="Times New Roman"/>
          <w:sz w:val="20"/>
        </w:rPr>
      </w:pPr>
      <w:r>
        <w:rPr>
          <w:rFonts w:ascii="Times New Roman" w:hAnsi="Times New Roman"/>
          <w:sz w:val="20"/>
        </w:rPr>
        <w:t xml:space="preserve">The FDA may also refer applications for novel biologic products, as well as biologic products that present difficult questions of safety or efficacy, to an advisory committee—typically a panel that includes clinicians and other experts—for review, evaluation, and a recommendation as to whether the BLA should be approved. The FDA is not bound by the recommendation of an advisory committee, but it generally follows such recommendations. </w:t>
      </w:r>
    </w:p>
    <w:p>
      <w:pPr>
        <w:pStyle w:val="TextBody"/>
        <w:bidi w:val="0"/>
        <w:spacing w:before="240" w:after="0"/>
        <w:jc w:val="both"/>
        <w:rPr>
          <w:rFonts w:ascii="Times New Roman" w:hAnsi="Times New Roman"/>
          <w:sz w:val="20"/>
        </w:rPr>
      </w:pPr>
      <w:r>
        <w:rPr>
          <w:rFonts w:ascii="Times New Roman" w:hAnsi="Times New Roman"/>
          <w:sz w:val="20"/>
        </w:rPr>
        <w:t xml:space="preserve">Before approving a BLA, the FDA will typically inspect one or more clinical sites to assure compliance with GCPs. Additionally, the FDA will generally inspect the facility or the facilities at which the biologic product is manufactured. The FDA will not approve the product unless compliance with cGMP is satisfactory and adequate to assure consistent production of the product within required specifications, and the BLA contains data that provide substantial evidence that the biologic is safe, pure, potent and effective in the claimed indication.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After the FDA evaluates the BLA and completes any clinical and manufacturing site inspections, it issues either an approval letter or a complete response letter. A complete response letter generally outlines the deficiencies in the BLA and may require substantial additional testing, or information, in order for the FDA to reconsider the BLA for approval. If, or when, those deficiencies have been addressed to the FDA’s satisfaction in a resubmission of the BLA, the FDA will issue an approval letter. The FDA has committed to reviewing such resubmissions in two or six months depending on the type of information included. Even if such data and information are submitted, the FDA may decide that the BLA does not satisfy the criteria for approval. </w:t>
      </w:r>
    </w:p>
    <w:p>
      <w:pPr>
        <w:pStyle w:val="TextBody"/>
        <w:bidi w:val="0"/>
        <w:spacing w:before="240" w:after="0"/>
        <w:jc w:val="both"/>
        <w:rPr>
          <w:rFonts w:ascii="Times New Roman" w:hAnsi="Times New Roman"/>
          <w:sz w:val="20"/>
        </w:rPr>
      </w:pPr>
      <w:r>
        <w:rPr>
          <w:rFonts w:ascii="Times New Roman" w:hAnsi="Times New Roman"/>
          <w:sz w:val="20"/>
        </w:rPr>
        <w:t xml:space="preserve">An approval letter authorizes commercial marketing and distribution of the biologic with specific prescribing information for specific indications. As a condition of BLA approval, the FDA may require a risk evaluation and mitigation strategy (REMS) to help ensure that the benefits of the biologic outweigh the potential risks.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Moreover, the FDA may require substantial post-approval testing, sometimes referred to as Phase 4 testing, and surveillance to monitor the product’s safety or efficacy. </w:t>
      </w:r>
    </w:p>
    <w:p>
      <w:pPr>
        <w:pStyle w:val="TextBody"/>
        <w:bidi w:val="0"/>
        <w:spacing w:before="240" w:after="0"/>
        <w:jc w:val="both"/>
        <w:rPr>
          <w:rFonts w:ascii="Times New Roman" w:hAnsi="Times New Roman"/>
          <w:sz w:val="20"/>
        </w:rPr>
      </w:pPr>
      <w:r>
        <w:rPr>
          <w:rFonts w:ascii="Times New Roman" w:hAnsi="Times New Roman"/>
          <w:sz w:val="20"/>
        </w:rPr>
        <w:t xml:space="preserve">Once granted, product approvals may be withdrawn if compliance with regulatory standards is not maintained, or problems are identified following initial marketing. Changes to some of the conditions established in an approved BLA, including changes in indications, labeling, or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 </w:t>
      </w:r>
    </w:p>
    <w:p>
      <w:pPr>
        <w:pStyle w:val="TextBody"/>
        <w:bidi w:val="0"/>
        <w:spacing w:before="360" w:after="0"/>
        <w:jc w:val="left"/>
        <w:rPr>
          <w:rFonts w:ascii="Times New Roman" w:hAnsi="Times New Roman"/>
          <w:b/>
          <w:sz w:val="20"/>
        </w:rPr>
      </w:pPr>
      <w:r>
        <w:rPr>
          <w:rFonts w:ascii="Times New Roman" w:hAnsi="Times New Roman"/>
          <w:b/>
          <w:sz w:val="20"/>
        </w:rPr>
        <w:t xml:space="preserve">Disclosure of Clinical Trial Information </w:t>
      </w:r>
    </w:p>
    <w:p>
      <w:pPr>
        <w:pStyle w:val="TextBody"/>
        <w:bidi w:val="0"/>
        <w:spacing w:before="120" w:after="0"/>
        <w:jc w:val="both"/>
        <w:rPr>
          <w:rFonts w:ascii="Times New Roman" w:hAnsi="Times New Roman"/>
          <w:sz w:val="20"/>
        </w:rPr>
      </w:pPr>
      <w:r>
        <w:rPr>
          <w:rFonts w:ascii="Times New Roman" w:hAnsi="Times New Roman"/>
          <w:sz w:val="20"/>
        </w:rPr>
        <w:t xml:space="preserve">Sponsors of clinical trials of FDA-regulated products, including biologics, are required to register and disclose certain clinical trial information on 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Controls for Biologics </w:t>
      </w:r>
    </w:p>
    <w:p>
      <w:pPr>
        <w:pStyle w:val="TextBody"/>
        <w:bidi w:val="0"/>
        <w:spacing w:before="120" w:after="0"/>
        <w:jc w:val="both"/>
        <w:rPr>
          <w:rFonts w:ascii="Times New Roman" w:hAnsi="Times New Roman"/>
          <w:sz w:val="20"/>
        </w:rPr>
      </w:pPr>
      <w:r>
        <w:rPr>
          <w:rFonts w:ascii="Times New Roman" w:hAnsi="Times New Roman"/>
          <w:sz w:val="20"/>
        </w:rPr>
        <w:t xml:space="preserve">To help reduce the increased risk of the introduction of adventitious agents, the PHS Act emphasizes the importance of manufacturing controls for products whose attributes cannot be precisely defined. The PHS Act also provides authority to the FDA to immediately suspend biologics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within the United States. </w:t>
      </w:r>
    </w:p>
    <w:p>
      <w:pPr>
        <w:pStyle w:val="TextBody"/>
        <w:bidi w:val="0"/>
        <w:spacing w:before="240" w:after="0"/>
        <w:jc w:val="both"/>
        <w:rPr>
          <w:rFonts w:ascii="Times New Roman" w:hAnsi="Times New Roman"/>
          <w:sz w:val="20"/>
        </w:rPr>
      </w:pPr>
      <w:r>
        <w:rPr>
          <w:rFonts w:ascii="Times New Roman" w:hAnsi="Times New Roman"/>
          <w:sz w:val="20"/>
        </w:rPr>
        <w:t xml:space="preserve">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lot manufacturing history and the results of all of the manufacturer’s tests performed on the lot. The FDA may also perform certain confirmatory tests on lots of some products, such as viral vaccines, before allowing the manufacturer to release the lots for distribution. In addition, the FDA conducts laboratory research related to the regulatory standards on the safety, purity, potency, and effectiveness of biological products.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with drugs, after approval of a BLA, biologics manufacturers must address any safety issues that arise, are subject to recalls or a halt in manufacturing, and are subject to periodic inspection after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Patent Term Restoration, Marketing Exclusivity, and Biosimilars </w:t>
      </w:r>
    </w:p>
    <w:p>
      <w:pPr>
        <w:pStyle w:val="TextBody"/>
        <w:bidi w:val="0"/>
        <w:spacing w:before="120" w:after="0"/>
        <w:jc w:val="both"/>
        <w:rPr>
          <w:rFonts w:ascii="Times New Roman" w:hAnsi="Times New Roman"/>
          <w:sz w:val="20"/>
        </w:rPr>
      </w:pPr>
      <w:r>
        <w:rPr>
          <w:rFonts w:ascii="Times New Roman" w:hAnsi="Times New Roman"/>
          <w:sz w:val="20"/>
        </w:rPr>
        <w:t xml:space="preserve">Depending upon the timing, duration, and specifics of FDA approval of our product candidates, some of our U.S. patents may be eligible for limited patent term extension under the Drug Price Competition and Patent Term Restoration Act of 1984 (the Hatch-Waxman Amendments). The Hatch-Waxman Amendments provide for a patent term extension of up to five years as compensation for patent term lost during the FDA regulatory review process. Patent term extension, however, cannot extend the remaining term of a patent beyond a total of 14 years from the product’s approval date. The patent term extension period is generally one half the time between the effective date of an IND and the submission date of a BLA, plus the time between the submission date of a BLA and the approval of that application, up to five years. If the patent selected for extension was issued during the development of or review period, the calculation begins from the date of patent issuance. The review period is reduced by any time during which the applicant failed to exercise due diligence. Only one patent applicable to an approved drug is eligible for such an extension, only those claims covering the approved drug, a method for using it, or a method for manufacturing it may be extended, and the application for the extension must be submitted prior to the expiration of the patent. Such application must be submitted within 60 days of approval. The USPTO, in consultation with the FDA, reviews and approves the application for any patent term extension or restoration. </w:t>
      </w:r>
    </w:p>
    <w:p>
      <w:pPr>
        <w:pStyle w:val="TextBody"/>
        <w:bidi w:val="0"/>
        <w:spacing w:before="240" w:after="0"/>
        <w:jc w:val="both"/>
        <w:rPr>
          <w:rFonts w:ascii="Times New Roman" w:hAnsi="Times New Roman"/>
          <w:sz w:val="20"/>
        </w:rPr>
      </w:pPr>
      <w:r>
        <w:rPr>
          <w:rFonts w:ascii="Times New Roman" w:hAnsi="Times New Roman"/>
          <w:sz w:val="20"/>
        </w:rPr>
        <w:t xml:space="preserve">The Biologics Price Competition and Innovation Act of 2009 (BPCIA) created an abbreviated approval pathway for biological products shown to be highly similar to or interchangeable with an FDA-licensed reference biological product. Biosimilarity sufficient to reference a prior FDA-approved product requires that there be no differences in conditions of use, route of administration, dosage form, and strength, and no clinically meaningful differences between the biological product and the reference product in terms of safety, purity, and potency. Biosimilarity may be shown through analytical studies, an assessment of toxicity, and a clinical trial or trials, unless the Secretary of Health and Human Services waives a required element. A biosimilar product may be deemed interchangeable with a previously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Under most state laws, interchangeable products may be used in place of the reference biological product. </w:t>
      </w:r>
    </w:p>
    <w:p>
      <w:pPr>
        <w:pStyle w:val="TextBody"/>
        <w:bidi w:val="0"/>
        <w:spacing w:before="240" w:after="0"/>
        <w:jc w:val="both"/>
        <w:rPr>
          <w:rFonts w:ascii="Times New Roman" w:hAnsi="Times New Roman"/>
          <w:sz w:val="20"/>
        </w:rPr>
      </w:pPr>
      <w:r>
        <w:rPr>
          <w:rFonts w:ascii="Times New Roman" w:hAnsi="Times New Roman"/>
          <w:sz w:val="20"/>
        </w:rPr>
        <w:t xml:space="preserve">A reference biologic is granted 12 years of exclusivity from the time of first licensure, or BLA approval, of the reference product, and no application for a biosimilar referencing the reference product can be submitted for four years from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 first biologic product submitted under the biosimilar abbreviated approval pathway that is determined to be interchangeable with the reference product has exclusivity against the approval of other interchangeable biologics for the lesser of (i) one year after first commercial marketing of the first interchangeable biosimilar, (ii) 18 months after the first interchangeable biosimilar is approved if there is no patent challenge, (iii) 18 months after resolution of a lawsuit against the applicant that submitted the application for the first approved interchangeable biosimilar biological product over the patents of the reference biologic, or (iv) 42 months after the first interchangeable biosimilar’s application has been approved if a patent lawsuit is ongoing within the 42-month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Pediatric Information </w:t>
      </w:r>
    </w:p>
    <w:p>
      <w:pPr>
        <w:pStyle w:val="TextBody"/>
        <w:bidi w:val="0"/>
        <w:spacing w:before="120" w:after="0"/>
        <w:jc w:val="both"/>
        <w:rPr>
          <w:rFonts w:ascii="Times New Roman" w:hAnsi="Times New Roman"/>
          <w:sz w:val="20"/>
        </w:rPr>
      </w:pPr>
      <w:r>
        <w:rPr>
          <w:rFonts w:ascii="Times New Roman" w:hAnsi="Times New Roman"/>
          <w:sz w:val="20"/>
        </w:rPr>
        <w:t xml:space="preserve">Under the Pediatric Research Equity Act (PREA), BLAs or supplements to BLAs must contain data to assess the safety and effectiveness of the biological product candidate for the claimed indications in all relevant pediatric subpopulations and to support dosing and administration for each pediatric subpopulation for which the biological product is safe and effective. The FDA may grant full or partial waivers or deferrals for submission of data. Unless otherwise required by law or regulation, PREA does not apply to any biological product for an indication for which orphan designation has been granted. However, if only one indication for a product has orphan designation, a pediatric assessment may still be required for any applications to market that same product for the non-orphan indication(s). </w:t>
      </w:r>
    </w:p>
    <w:p>
      <w:pPr>
        <w:pStyle w:val="TextBody"/>
        <w:bidi w:val="0"/>
        <w:spacing w:before="240" w:after="0"/>
        <w:jc w:val="both"/>
        <w:rPr>
          <w:rFonts w:ascii="Times New Roman" w:hAnsi="Times New Roman"/>
          <w:sz w:val="20"/>
        </w:rPr>
      </w:pPr>
      <w:r>
        <w:rPr>
          <w:rFonts w:ascii="Times New Roman" w:hAnsi="Times New Roman"/>
          <w:sz w:val="20"/>
        </w:rPr>
        <w:t xml:space="preserve">The Best Pharmaceuticals for Children Act (BPCA) provides a six-month extension of non-patent exclusivity for a biologic if certain conditions are met. Conditions for exclusivity include the FDA’s determination that information relating to the use of a new biologic in the pediatric population may produce health benefits in that population, the FDA making a written request for pediatric studies, and the applicant agreeing to perform, and reporting on, the requested studies within the statutory time frame. Applications under the BPCA are treated as priority applications, with all of the benefits that designation confers.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Post-Approval Requirements </w:t>
      </w:r>
    </w:p>
    <w:p>
      <w:pPr>
        <w:pStyle w:val="TextBody"/>
        <w:bidi w:val="0"/>
        <w:spacing w:before="120" w:after="0"/>
        <w:jc w:val="both"/>
        <w:rPr>
          <w:rFonts w:ascii="Times New Roman" w:hAnsi="Times New Roman"/>
          <w:sz w:val="20"/>
        </w:rPr>
      </w:pPr>
      <w:r>
        <w:rPr>
          <w:rFonts w:ascii="Times New Roman" w:hAnsi="Times New Roman"/>
          <w:sz w:val="20"/>
        </w:rPr>
        <w:t xml:space="preserve">Once a BLA is approved, a product will be subject to certain post-approval requirements. For instance, the FDA closely regulates the post-approval marketing and promotion of biologics, including standards and regulations for direct-to-consumer advertising, off-label promotion, industry-sponsored scientific and educational activities and promotional activities involving the internet. Biologics may be marketed only for the approved indications and in accordance with the provisions of the approved labeling. </w:t>
      </w:r>
    </w:p>
    <w:p>
      <w:pPr>
        <w:pStyle w:val="TextBody"/>
        <w:bidi w:val="0"/>
        <w:spacing w:before="240" w:after="0"/>
        <w:jc w:val="both"/>
        <w:rPr>
          <w:rFonts w:ascii="Times New Roman" w:hAnsi="Times New Roman"/>
          <w:sz w:val="20"/>
        </w:rPr>
      </w:pPr>
      <w:r>
        <w:rPr>
          <w:rFonts w:ascii="Times New Roman" w:hAnsi="Times New Roman"/>
          <w:sz w:val="20"/>
        </w:rPr>
        <w:t xml:space="preserve">The FDA strictly regulates marketing, labeling, advertising and promotion of biologics that are placed on the market. Advertising and promotion of biologics must be in compliance with the FDC Act and its implementing regulations and only for the approved indications and in a manner consistent with the approved labeling. The FDA and other agencies actively enforce the laws and regulations prohibiting the promotion of off-label uses, and a company that is found to have improperly promoted off-label uses may be subject to significant liability, including investigation by federal and state authorities. </w:t>
      </w:r>
    </w:p>
    <w:p>
      <w:pPr>
        <w:pStyle w:val="TextBody"/>
        <w:bidi w:val="0"/>
        <w:spacing w:before="240" w:after="0"/>
        <w:jc w:val="both"/>
        <w:rPr>
          <w:rFonts w:ascii="Times New Roman" w:hAnsi="Times New Roman"/>
          <w:sz w:val="20"/>
        </w:rPr>
      </w:pPr>
      <w:r>
        <w:rPr>
          <w:rFonts w:ascii="Times New Roman" w:hAnsi="Times New Roman"/>
          <w:sz w:val="20"/>
        </w:rPr>
        <w:t xml:space="preserve">Adverse event reporting and submission of periodic reports is required following FDA approval of a BLA. The FDA also may require post-marketing testing, or Phase 4 testing, REMS, and surveillance to monitor the effects of an approved product, or the FDA may place conditions on an approval that could restrict the distribution or use of the product. In addition, quality control, biological product manufacture, packaging, and labeling procedures must continue to conform to cGMP after approval. Biologic manufacturers and certain of their subcontractors are required to register their establishments with the FDA and certain state agencies. Registration with the FDA subjects entities to periodic unannounced inspections by the FDA, during which the agency inspects a biologic product’s manufacturing facilities to assess compliance with cGMP. Accordingly, manufacturers must continue to expend time, money, and effort in the areas of production and quality-control to maintain compliance with cGMP. Regulatory authorities may withdraw product approvals or request product recalls if a company fails to comply with regulatory standards, if it encounters problems following initial marketing, or if previously unrecognized problems are subsequently discovered. </w:t>
      </w:r>
    </w:p>
    <w:p>
      <w:pPr>
        <w:pStyle w:val="TextBody"/>
        <w:bidi w:val="0"/>
        <w:spacing w:before="240" w:after="0"/>
        <w:jc w:val="both"/>
        <w:rPr>
          <w:rFonts w:ascii="Times New Roman" w:hAnsi="Times New Roman"/>
          <w:sz w:val="20"/>
        </w:rPr>
      </w:pPr>
      <w:r>
        <w:rPr>
          <w:rFonts w:ascii="Times New Roman" w:hAnsi="Times New Roman"/>
          <w:sz w:val="20"/>
        </w:rPr>
        <w:t xml:space="preserve">Other potential consequences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Form 483s, restrictions on the manufacturing of the product, product recalls or withdrawal of the product from the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warning or untitled letters or holds on clinical trials;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refusal of the FDA or comparable foreign regulatory authorities to accept new marketing applications or approve pending applications or supplements to approved applications, or suspension or revocation of product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product seizure or detention, or refusal to permit the import or export of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consent decrees, corporate integrity agreements, debarment or exclusion from federal healthcare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mandated modification of promotional materials and labeling and the issuance of corrective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issuance of safety alerts, Dear Healthcare Provider letters, press releases and other communications containing warnings or other safety information about the product;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injunctions or the imposition of fines or civil or criminal penalties.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Regulation Outside of the United States </w:t>
      </w:r>
    </w:p>
    <w:p>
      <w:pPr>
        <w:pStyle w:val="TextBody"/>
        <w:bidi w:val="0"/>
        <w:spacing w:before="120" w:after="0"/>
        <w:jc w:val="both"/>
        <w:rPr>
          <w:rFonts w:ascii="Times New Roman" w:hAnsi="Times New Roman"/>
          <w:sz w:val="20"/>
        </w:rPr>
      </w:pPr>
      <w:r>
        <w:rPr>
          <w:rFonts w:ascii="Times New Roman" w:hAnsi="Times New Roman"/>
          <w:sz w:val="20"/>
        </w:rPr>
        <w:t xml:space="preserve">In addition to regulations in the United States, we are also subject to a variety of regulations in other jurisdictions governing clinical studies, commercial sales, and distribution of our products. Most countries outside of the United States require that clinical trial applications be submitted to and approved by the local regulatory authority for each clinical study. </w:t>
      </w:r>
    </w:p>
    <w:p>
      <w:pPr>
        <w:pStyle w:val="TextBody"/>
        <w:bidi w:val="0"/>
        <w:spacing w:before="240" w:after="0"/>
        <w:jc w:val="both"/>
        <w:rPr>
          <w:rFonts w:ascii="Times New Roman" w:hAnsi="Times New Roman"/>
          <w:sz w:val="20"/>
        </w:rPr>
      </w:pPr>
      <w:r>
        <w:rPr>
          <w:rFonts w:ascii="Times New Roman" w:hAnsi="Times New Roman"/>
          <w:sz w:val="20"/>
        </w:rPr>
        <w:t xml:space="preserve">In Canada, for example, the manufacture and sale of new drugs are controlled by Health Canada. New drugs must pass through a number of testing stages, including preclinical testing and human clinical trials. Preclinical testing involves testing the new drug’s chemistry, pharmacology and toxicology in vitro and in vivo. Successful results (that is, potentially valuable pharmacological activity combined with an acceptable low level of toxicity) enable the developer of the new drug to file a clinical trial application to begin clinical trials involving humans. </w:t>
      </w:r>
    </w:p>
    <w:p>
      <w:pPr>
        <w:pStyle w:val="TextBody"/>
        <w:bidi w:val="0"/>
        <w:spacing w:before="240" w:after="0"/>
        <w:jc w:val="both"/>
        <w:rPr>
          <w:rFonts w:ascii="Times New Roman" w:hAnsi="Times New Roman"/>
          <w:sz w:val="20"/>
        </w:rPr>
      </w:pPr>
      <w:r>
        <w:rPr>
          <w:rFonts w:ascii="Times New Roman" w:hAnsi="Times New Roman"/>
          <w:sz w:val="20"/>
        </w:rPr>
        <w:t xml:space="preserve">To study a drug in Canadian patients, a clinical trial application submission must be filed with Health Canada. The clinical trial application submission must contain specified information, including the results of the preclinical tests completed at the time of the submission and any available information regarding use of the drug in humans. In addition, since the method of manufacture may affect the efficacy and safety of a new drug, information on manufacturing methods and standards and the stability of the drug substance and dosage form must be presented. Production methods and quality control procedures must be in place to ensure an acceptably pure product, essentially free of contamination, and to ensure uniformity with respect to all quality aspects. </w:t>
      </w:r>
    </w:p>
    <w:p>
      <w:pPr>
        <w:pStyle w:val="TextBody"/>
        <w:bidi w:val="0"/>
        <w:spacing w:before="240" w:after="0"/>
        <w:jc w:val="both"/>
        <w:rPr>
          <w:rFonts w:ascii="Times New Roman" w:hAnsi="Times New Roman"/>
          <w:sz w:val="20"/>
        </w:rPr>
      </w:pPr>
      <w:r>
        <w:rPr>
          <w:rFonts w:ascii="Times New Roman" w:hAnsi="Times New Roman"/>
          <w:sz w:val="20"/>
        </w:rPr>
        <w:t xml:space="preserve">In addition, all federally regulated trials must be approved and monitored by an independent committee of doctors, scientists, advocates and others to ensure safety and ethical standards, IRBs or Ethics Review Boards (ERBs). The review boards study and approve all study-related documents before a clinical trial begins and also carefully monitor data to detect benefit or harm, and validity of results. </w:t>
      </w:r>
    </w:p>
    <w:p>
      <w:pPr>
        <w:pStyle w:val="TextBody"/>
        <w:bidi w:val="0"/>
        <w:spacing w:before="240" w:after="0"/>
        <w:jc w:val="both"/>
        <w:rPr>
          <w:rFonts w:ascii="Times New Roman" w:hAnsi="Times New Roman"/>
          <w:sz w:val="20"/>
        </w:rPr>
      </w:pPr>
      <w:r>
        <w:rPr>
          <w:rFonts w:ascii="Times New Roman" w:hAnsi="Times New Roman"/>
          <w:sz w:val="20"/>
        </w:rPr>
        <w:t xml:space="preserve">Provided Health Canada does not reject a clinical trial application submission and IRB or ERB approval has been obtained, clinical trials can begin. Clinical trials for product candidates in Canada, as in the United States, are generally carried out in three phases. Phase 1 involves studies to evaluate toxicity and suitable dose levels in healthy humans. The new drug is administered to human patients who have met the clinical trial entry criteria to determine pharmacokinetics, human tolerance and prevalence of any adverse side effects. Phases 2 and 3 involve therapeutic studies. In Phase 2, efficacy, dosage, side effects and safety are established in a small number of patients who have the disease or disorder that the new drug is intended to treat. In Phase 3, there are controlled clinical trials in which the new drug is administered to a large number of patients who are likely to receive benefit from the new drug. In Phase 3, the effectiveness of the new drug in patients is compared to that of standard accepted methods of treatment in order to provide sufficient data for the statistical proof of safety and efficacy for the new drug.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If clinical studies establish that a new drug has value, the manufacturer submits a new drug submission application to Health Canada for marketing approval. The new drug submission contains all known information about the new drug, including the results of preclinical testing and clinical trials. Information about a substance contained in new drug submission includes its proper name, its chemical name, and details on its method of manufacturing and purification, and its biological, pharmacological and toxicological properties. The new drug submission also provides information about the dosage form of the new drug, including a quantitative listing of all ingredients used in its formulation, its method of manufacture, manufacturing facility information, packaging and labeling, the results of stability tests, and its diagnostic or therapeutic claims and side effects, as well as details of the clinical trials to support the safety and efficacy of the new drug. Furthermore, for biological products, an on-site evaluation is completed to assess the production process and manufacturing facility. It is required prior to the issuance of a notice of compliance. All aspects of the new drug submission are critically reviewed by Health Canada. If a new drug submission is found satisfactory, a notice of compliance is issued permitting the new drug to be sold for the approved use. In Canada, an establishment license must be obtained prior to marketing the product. </w:t>
      </w:r>
    </w:p>
    <w:p>
      <w:pPr>
        <w:pStyle w:val="TextBody"/>
        <w:bidi w:val="0"/>
        <w:spacing w:before="240" w:after="0"/>
        <w:jc w:val="both"/>
        <w:rPr>
          <w:rFonts w:ascii="Times New Roman" w:hAnsi="Times New Roman"/>
          <w:sz w:val="20"/>
        </w:rPr>
      </w:pPr>
      <w:r>
        <w:rPr>
          <w:rFonts w:ascii="Times New Roman" w:hAnsi="Times New Roman"/>
          <w:sz w:val="20"/>
        </w:rPr>
        <w:t xml:space="preserve">Health Canada has a policy of priority evaluation of new drug submissions for all drugs intended for serious or life-threatening diseases for which no drug product has received regulatory approval in Canada and for which there is reasonable scientific evidence to indicate that the proposed new drug is safe and may provide effective treatment. </w:t>
      </w:r>
    </w:p>
    <w:p>
      <w:pPr>
        <w:pStyle w:val="TextBody"/>
        <w:bidi w:val="0"/>
        <w:spacing w:before="240" w:after="0"/>
        <w:jc w:val="both"/>
        <w:rPr>
          <w:rFonts w:ascii="Times New Roman" w:hAnsi="Times New Roman"/>
          <w:sz w:val="20"/>
        </w:rPr>
      </w:pPr>
      <w:r>
        <w:rPr>
          <w:rFonts w:ascii="Times New Roman" w:hAnsi="Times New Roman"/>
          <w:sz w:val="20"/>
        </w:rPr>
        <w:t xml:space="preserve">An exception to the foregoing requirements relating to the manufacture and sale of a new drug is the limited authorization that may be available in respect of the sale of new drugs for emergency treatment. Under the special access program, Health Canada may authorize the sale of a quantity of a new drug for human use to a specific practitioner for the emergency treatment of a patient under the practitioner’s care. Prior to authorization, the practitioner must supply Health Canada with information concerning the medical emergency for which the new drug is required, such data as is in the possession of the practitioner with respect to the use, safety and efficacy of the new drug, the names of the institutions at which the new drug is to be used and such other information as may be requested by Health Canada. In addition, the practitioner must agree to report to both the drug manufacturer and Health Canada the results of the new drug’s use in the medical emergency, including information concerning adverse reactions, and must account to Health Canada for all quantities of the new drug made available. </w:t>
      </w:r>
    </w:p>
    <w:p>
      <w:pPr>
        <w:pStyle w:val="TextBody"/>
        <w:bidi w:val="0"/>
        <w:spacing w:before="240" w:after="0"/>
        <w:jc w:val="both"/>
        <w:rPr>
          <w:rFonts w:ascii="Times New Roman" w:hAnsi="Times New Roman"/>
          <w:sz w:val="20"/>
        </w:rPr>
      </w:pPr>
      <w:r>
        <w:rPr>
          <w:rFonts w:ascii="Times New Roman" w:hAnsi="Times New Roman"/>
          <w:sz w:val="20"/>
        </w:rPr>
        <w:t xml:space="preserve">The Canadian regulatory approval requirements for new drugs outlined above are similar to those of other major pharmaceutical markets. While the testing carried out in Canada is often acceptable for the purposes of regulatory submissions in other countries, individual regulatory authorities may request supplementary testing during their assessment of any submission. Therefore, the clinical testing conducted under Health Canada authorization or the approval of regulatory authorities of other countries may not be accepted by regulatory authorities outside Canada or other countries. </w:t>
      </w:r>
    </w:p>
    <w:p>
      <w:pPr>
        <w:pStyle w:val="TextBody"/>
        <w:bidi w:val="0"/>
        <w:spacing w:before="240" w:after="0"/>
        <w:jc w:val="both"/>
        <w:rPr>
          <w:rFonts w:ascii="Times New Roman" w:hAnsi="Times New Roman"/>
          <w:sz w:val="20"/>
        </w:rPr>
      </w:pPr>
      <w:r>
        <w:rPr>
          <w:rFonts w:ascii="Times New Roman" w:hAnsi="Times New Roman"/>
          <w:sz w:val="20"/>
        </w:rPr>
        <w:t xml:space="preserve">The monitoring of a new drug does not cease once it is on the market. For example, a manufacturer of a new drug must report any new information received concerning serious side effects, as well as the failure of the new drug to produce desired effects. If Health Canada determines it to be in the interest of public health, a notice of compliance for a new drug may be suspended and the new drug may be removed from the market. </w:t>
      </w:r>
    </w:p>
    <w:p>
      <w:pPr>
        <w:pStyle w:val="TextBody"/>
        <w:bidi w:val="0"/>
        <w:spacing w:before="240" w:after="0"/>
        <w:jc w:val="both"/>
        <w:rPr>
          <w:rFonts w:ascii="Times New Roman" w:hAnsi="Times New Roman"/>
          <w:sz w:val="20"/>
        </w:rPr>
      </w:pPr>
      <w:r>
        <w:rPr>
          <w:rFonts w:ascii="Times New Roman" w:hAnsi="Times New Roman"/>
          <w:sz w:val="20"/>
        </w:rPr>
        <w:t xml:space="preserve">A post surveillance program involves clinical trials conducted after a drug is marketed (referred to as Phase 4 studies in the United States) and is an important source of information on as yet undetected adverse outcomes, especially in populations that may not have been involved in the premarketing trials (e.g., children, the elderly, pregnant women) and the drug’s long-term morbidity and mortality profile. Regulatory authorities may require companies to conduct Phase 4 studies as a condition of market approval. Companies often conduct post-marketing studies in the absence of a regulatory mandate.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Healthcare Laws and Regulations </w:t>
      </w:r>
    </w:p>
    <w:p>
      <w:pPr>
        <w:pStyle w:val="TextBody"/>
        <w:bidi w:val="0"/>
        <w:spacing w:before="120" w:after="0"/>
        <w:jc w:val="both"/>
        <w:rPr>
          <w:rFonts w:ascii="Times New Roman" w:hAnsi="Times New Roman"/>
          <w:sz w:val="20"/>
        </w:rPr>
      </w:pPr>
      <w:r>
        <w:rPr>
          <w:rFonts w:ascii="Times New Roman" w:hAnsi="Times New Roman"/>
          <w:sz w:val="20"/>
        </w:rPr>
        <w:t xml:space="preserve">Sales of pharmaceutical products and related activities, such as arrangements with investigators, healthcare professionals, consultants, third-party payors, patient organizations and customers, are subject to fraud and abuse and other healthcare laws and regulation, which are enforced by the federal government and the states and foreign governments in which the business is conducted. Applicable healthcare laws and regulations that may affect a company’s ability to operate if and when marketing approval is granted for a product candidate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federal Anti-Kickback Statute, which prohibits, among other things, individuals and entities from knowingly and willfully soliciting, receiving, offering or providing remuneration (including any kickback, bribe or rebate), directly or indirectly, overtly or covertly, in cash or in kind, to induce or reward, or in return for, either the referral of an individual for, or the purchase, order, or recommendation of, any good or service for which payment may be made, in whole or in part, under a federal or state healthcare program, such as Medicare or Medicaid. The term “remuneration” has been broadly interpreted to include anything of value. A person or entity does not need to have actual knowledge of the statute or specific intent to violate it in order to have committed a violation. Rather, if “one purpose” of the remuneration is to induce referrals, the federal Anti-Kickback Statute is violated. Violations are subject to civil and criminal fines and penalties for each violation, plus up to three times the remuneration involved, imprisonment, and exclusion from federal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federal criminal and civil false claims and civil monetary penalties laws, including the federal False Claims Act (FCA), which can be enforced through civil whistleblower or “qui tam” actions against individuals or entities, and prohibits, among other things,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In addition, certain marketing practices, including off-label promotion, may also violate false claims laws. Moreover, the government may assert that a claim including items and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Health Insurance Portability and Accountability Act (HIPAA), which prohibits,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payor (e.g., public or private), or knowingly and willfully falsifying, concealing or covering up a material fact or making any materially false statement in connection with the delivery of or payment for healthcare benefits, items or services. Similar to the Anti-Kickback Statute,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HIPAA, as amended by the Health Information Technology for Economic and Clinical Health Act of 2009 (HITECH) and their respective implementing regulations, which impose obligations on certain covered healthcare providers, health plans, and healthcare clearinghouses, as well as their respective business associates and subcontractors that perform certain services involving the storage, use or disclosure of individually identifiable health information for or on behalf of a covered entity and their business associates, including mandatory contractual terms, with respect to safeguarding the privacy, security, and transmission of individually identifiable health information, and require notification to affected individuals and regulatory authorities of certain breaches of security of individually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even when HIPAA/HITECH do not apply, according to the Federal Trade Commission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information is considered sensitive data that merits stronger safeguards;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federal Physician Payments Sunshine Act, which requires certain manufacturers of drugs, devices, biologics and medical supplies for which payment is available under Medicare, Medicaid or the Children’s Health Insurance Program, with certain exceptions, to report annually to the Centers for Medicare &amp; Medicaid Services (CMS) information related to payments or other transfers of value made to physicians (defined to include doctors, dentists, optometrists, podiatrists and chiropractors), certain other health care professionals (such as physician assistants, nurse practitioners, clinical nurse specialists, anesthesiologist assistants, certified registered nurse anesthetists and certain nurse midwives) and teaching hospitals, as well as ownership and investment interests held by the physicians described above and their immediate family members, with the information made publicly available on a searchable website;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Foreign Corrupt Practices Act (FCPA), which prohibits U.S.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analogous state laws and regulations, such as state anti-kickback and false claims laws, that may apply to sales or marketing arrangements and claims involving healthcare items or services reimbursed under Medicaid and other state programs, or in several states, apply regardless of payor, including private insurers and cash-pay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state laws that require the registration of manufacturers and wholesale distributors of drug and biological products who ship into a state, including in certain states that require registration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certain state laws that require pharmaceutical and biotechnology companies to obtain regulatory licenses to manufacture or distribute products commercially, establish marketing compliance programs and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 information, and state and local laws that require the registration of pharmaceutical sales representatives, as well as prohibit pharmacies and other healthcare entities from providing certain physician prescribing data to pharmaceutical and biotechnology companies for use in sales and marketing, and to prohibit certain other sales and marketing practices.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Additionally, we are subject to state and foreign laws governing the collection, use, access to, confidentiality, privacy and security of health-related and other personal information, many of which differ from each other in significant ways and often are not preempted by HIPAA. Violations of any such requirements may result in significant penalties, including civil, criminal and administrative penalties, damages, fines,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disgorgement, imprisonment, the curtailment or restructuring of operations, loss of eligibility to obtain approvals from the FDA, exclusion from participation in government contracting, healthcare reimbursement or other government programs, including Medicare and Medicaid, integrity oversight and reporting obligations, or reputational harm. Additionally, to the extent that pharmaceutical products are sold in a foreign country, they may be subject to similar foreign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Pharmaceutical Coverage, Pricing and Reimbursement </w:t>
      </w:r>
    </w:p>
    <w:p>
      <w:pPr>
        <w:pStyle w:val="TextBody"/>
        <w:bidi w:val="0"/>
        <w:spacing w:before="120" w:after="0"/>
        <w:jc w:val="both"/>
        <w:rPr>
          <w:rFonts w:ascii="Times New Roman" w:hAnsi="Times New Roman"/>
          <w:sz w:val="20"/>
        </w:rPr>
      </w:pPr>
      <w:r>
        <w:rPr>
          <w:rFonts w:ascii="Times New Roman" w:hAnsi="Times New Roman"/>
          <w:sz w:val="20"/>
        </w:rPr>
        <w:t xml:space="preserve">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extent to which third-party payors provide coverage, and establish adequate reimbursement levels for such products. In the United States, third-party payors include federal and state healthcare programs, government authorities, private managed care providers, private health insurers and other organizations, where there is no uniform policy for coverage and reimbursement and can differ significantly from payor to payor. </w:t>
      </w:r>
    </w:p>
    <w:p>
      <w:pPr>
        <w:pStyle w:val="TextBody"/>
        <w:bidi w:val="0"/>
        <w:spacing w:before="240" w:after="0"/>
        <w:jc w:val="both"/>
        <w:rPr>
          <w:rFonts w:ascii="Times New Roman" w:hAnsi="Times New Roman"/>
          <w:sz w:val="20"/>
        </w:rPr>
      </w:pPr>
      <w:r>
        <w:rPr>
          <w:rFonts w:ascii="Times New Roman" w:hAnsi="Times New Roman"/>
          <w:sz w:val="20"/>
        </w:rPr>
        <w:t xml:space="preserve">Third-party payors are increasingly challenging the price, examining the medical necessity and reviewing the cost-effectiveness of medical drug products and medical services, in addition to questioning their safety and efficacy. Such payors may limit coverage to specific drug products on an approved list, also known as a formulary, which might not include all of the FDA-approved drugs for a particular indication. Companies may need to conduct expensive pharmaco-economic studies in order to demonstrate the medical necessity and cost-effectiveness of their products, in addition to the costs required to obtain the FDA approvals. Nonetheless, a product candidate may not be considered medically necessary or cost-effective. Moreover, the process for determining whether a third-party payor will provide coverage for a drug product may be separate from the process for setting the price of a drug product or for establishing the reimbursement rate that such a payor will pay for the drug product.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Adequate third-party reimbursement may not be available to enable a company to maintain price levels sufficient to realize an appropriate return on its investment in product development. </w:t>
      </w:r>
    </w:p>
    <w:p>
      <w:pPr>
        <w:pStyle w:val="TextBody"/>
        <w:bidi w:val="0"/>
        <w:spacing w:before="240" w:after="0"/>
        <w:jc w:val="both"/>
        <w:rPr>
          <w:rFonts w:ascii="Times New Roman" w:hAnsi="Times New Roman"/>
          <w:sz w:val="20"/>
        </w:rPr>
      </w:pPr>
      <w:r>
        <w:rPr>
          <w:rFonts w:ascii="Times New Roman" w:hAnsi="Times New Roman"/>
          <w:sz w:val="20"/>
        </w:rPr>
        <w:t xml:space="preserve">The marketability of any product candidates for which regulatory approval is granted for commercial sale may suffer if the government and third-party payors fail to provide adequate coverage and reimbursement. In addition, emphasis on managed care in the United States has increased and could increase the pressure on pharmaceutical pricing. Moreover, there have been increasing efforts by governmental and third-party payors in the United States and abroad to cap or reduce healthcare costs. For example, the U.S. Department of Health and Human Services (HHS) imposes rebates on many Medicare Part B and Medicare Part D products to penalize price increases that outpace inflation on an annual basis. In addition, HHS has been empowered to negotiate the price of certain single-source biologics that have been on the market for at least 11 years covered under Medicare as part of the Medicare Drug Price Negotiation Program. Each year, up to 20 products will be selected by HHS for the Medicare Drug Price Negotiation Program. Products subject to the Medicare Drug Price Negotiation Program are expected to experience a significant reduction in reimbursement from the Medicare program on a per unit basis. Coverage policies and third-party reimbursement rates may change at any time. Even if favorable coverage and reimbursement status is attained for one or more products for which regulatory approval is granted, less favorable coverage policies and reimbursement rates may be implemented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Healthcare Reform </w:t>
      </w:r>
    </w:p>
    <w:p>
      <w:pPr>
        <w:pStyle w:val="TextBody"/>
        <w:bidi w:val="0"/>
        <w:spacing w:before="120" w:after="0"/>
        <w:jc w:val="both"/>
        <w:rPr>
          <w:rFonts w:ascii="Times New Roman" w:hAnsi="Times New Roman"/>
          <w:sz w:val="20"/>
        </w:rPr>
      </w:pPr>
      <w:r>
        <w:rPr>
          <w:rFonts w:ascii="Times New Roman" w:hAnsi="Times New Roman"/>
          <w:sz w:val="20"/>
        </w:rPr>
        <w:t xml:space="preserve">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for substitution of generic products for branded prescription drugs and biologics. In recent years, Congress has considered reductions in Medicare reimbursement levels for drugs and biologics administered by physicians. CMS, the agency that administers the Medicare and Medicaid programs, also has authority to revise reimbursement rates and to implement coverage restrictions for some drugs and biologics. Cost reduction initiatives and changes in coverage implemented through legislation or regulation could decrease utilization of and reimbursement for any approved products. While Medicare regulations apply only to drug benefits for Medicare beneficiaries, private payors often follow Medicare coverage policy and payment limitations in setting their own reimbursement rates. Therefore, any reduction in reimbursement that results from federal legislation or regulation may result in a similar reduction in payments from private payors. </w:t>
      </w:r>
    </w:p>
    <w:p>
      <w:pPr>
        <w:pStyle w:val="TextBody"/>
        <w:bidi w:val="0"/>
        <w:spacing w:before="240" w:after="0"/>
        <w:jc w:val="both"/>
        <w:rPr>
          <w:rFonts w:ascii="Times New Roman" w:hAnsi="Times New Roman"/>
          <w:sz w:val="20"/>
        </w:rPr>
      </w:pPr>
      <w:r>
        <w:rPr>
          <w:rFonts w:ascii="Times New Roman" w:hAnsi="Times New Roman"/>
          <w:sz w:val="20"/>
        </w:rPr>
        <w:t xml:space="preserve">On July 4, 2025, the One Big Beautiful Bill Act (the OBBBA) was signed into law that narrowed access to marketplace exchanges created under the Patient Protection and Affordable Care Act, as amended by the Health Care and Education Reconciliation Act of 2010 (collectively, the ACA)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also considering proposed legislation intended to further reduce healthcare costs with alternatives to replace the expired ACA subsidies. The current administration has announced agreements with several pharmaceutical companies that require the drug manufacturers to offer, through a direct to consumer platform (TrumpRx) U.S. patients and Medicaid programs prescription drug Most-Favored Nation (MFN) pricing equal to or lower than those paid in other developed nations, with additional mandates for direct-to-patient discounts and repatriation of foreign revenues. Other examples include: (1) reducing agency workforces; (2) directing HHS and other agencies to lower prescription drug costs through a variety of initiatives, including by improving upon the Medicare Drug Price Negotiation Program and establishing MFN pricing for pharmaceutical products; (3) imposing tariffs on certain imported pharmaceutical products; and (4) as part of the Make America Healthy Again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MFN pricing, lower government subsidies to private insurance companies, increase healthcare price transparency, expand pharmaceutical drugs available for over-the-counter purchase, and enact restrictions on pharmacy benefit manager, or PBM, payment methodologies, among others. Further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w:t>
      </w:r>
    </w:p>
    <w:p>
      <w:pPr>
        <w:pStyle w:val="TextBody"/>
        <w:bidi w:val="0"/>
        <w:spacing w:before="240" w:after="0"/>
        <w:jc w:val="both"/>
        <w:rPr>
          <w:rFonts w:ascii="Times New Roman" w:hAnsi="Times New Roman"/>
          <w:sz w:val="20"/>
        </w:rPr>
      </w:pPr>
      <w:r>
        <w:rPr>
          <w:rFonts w:ascii="Times New Roman" w:hAnsi="Times New Roman"/>
          <w:sz w:val="20"/>
        </w:rPr>
        <w:t xml:space="preserve">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t>
      </w:r>
    </w:p>
    <w:p>
      <w:pPr>
        <w:pStyle w:val="TextBody"/>
        <w:bidi w:val="0"/>
        <w:spacing w:before="240" w:after="0"/>
        <w:jc w:val="both"/>
        <w:rPr>
          <w:rFonts w:ascii="Times New Roman" w:hAnsi="Times New Roman"/>
          <w:sz w:val="20"/>
        </w:rPr>
      </w:pPr>
      <w:r>
        <w:rPr>
          <w:rFonts w:ascii="Times New Roman" w:hAnsi="Times New Roman"/>
          <w:sz w:val="20"/>
        </w:rPr>
        <w:t xml:space="preserve">General legislative cost control measures may also affect reimbursement for product candidates. The Budget Control Act, as amended, resulted in the imposition of reductions in Medicare (but not Medicaid) payments to providers in 2013 that remain in effect through 2032 unless additional Congressional action is taken. Further, in its June 2024 decision in Loper Bright Enterprises v. Raimondo,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Additional federal, state, and foreign healthcare reform measures may be adopted in the future, particularly given the recent change of administration, any of which could limit the amounts that federal and state governments will pay for healthcare products and services, which could result in limited coverage and reimbursement and reduced demand for pharmaceutical products or additional pricing pressures.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Employees and Human Capital Resources </w:t>
      </w:r>
    </w:p>
    <w:p>
      <w:pPr>
        <w:pStyle w:val="TextBody"/>
        <w:bidi w:val="0"/>
        <w:spacing w:before="120" w:after="0"/>
        <w:jc w:val="both"/>
        <w:rPr>
          <w:rFonts w:ascii="Times New Roman" w:hAnsi="Times New Roman"/>
          <w:sz w:val="20"/>
        </w:rPr>
      </w:pPr>
      <w:r>
        <w:rPr>
          <w:rFonts w:ascii="Times New Roman" w:hAnsi="Times New Roman"/>
          <w:sz w:val="20"/>
        </w:rPr>
        <w:t xml:space="preserve">As of June 30, 2026, we had 44 employees, 44 of whom were full-time and 31 of whom were engaged in research and development activities. Approximately 66% of our employees hold Ph.D. or M.D. or other advanced degrees. None of our employees are represented by a labor union or covered under a collective bargaining agreement. We consider our relationship with our employees to be good. </w:t>
      </w:r>
    </w:p>
    <w:p>
      <w:pPr>
        <w:pStyle w:val="TextBody"/>
        <w:bidi w:val="0"/>
        <w:spacing w:before="240" w:after="0"/>
        <w:jc w:val="both"/>
        <w:rPr>
          <w:rFonts w:ascii="Times New Roman" w:hAnsi="Times New Roman"/>
          <w:sz w:val="20"/>
        </w:rPr>
      </w:pPr>
      <w:r>
        <w:rPr>
          <w:rFonts w:ascii="Times New Roman" w:hAnsi="Times New Roman"/>
          <w:sz w:val="20"/>
        </w:rPr>
        <w:t xml:space="preserve">Our human capital resources objectives include, as applicable, identifying, recruiting, retaining, incentivizing and integrating our existing and new employees, advisors and consultants. It is important that we not only attract and retain the best and brightest diverse talent, but also ensure they remain engaged and can thrive in an environment that is committed to helping them grow, succeed and contribute directly to achieving our purpose. The principal purposes of our equity and cash incentive plans are to attract, retain and reward personnel through the granting of stock-based and cash-based compensation awards, in order to increase the success of our Company by motivating such individuals to perform to the best of their abilities and achieve our objectives. We also strive to foster career growth and internal mobility by providing a broad range of training, mentoring and other development opportunities. </w:t>
      </w:r>
    </w:p>
    <w:p>
      <w:pPr>
        <w:pStyle w:val="TextBody"/>
        <w:bidi w:val="0"/>
        <w:spacing w:before="360" w:after="0"/>
        <w:jc w:val="left"/>
        <w:rPr>
          <w:rFonts w:ascii="Times New Roman" w:hAnsi="Times New Roman"/>
          <w:b/>
          <w:sz w:val="20"/>
        </w:rPr>
      </w:pPr>
      <w:r>
        <w:rPr>
          <w:rFonts w:ascii="Times New Roman" w:hAnsi="Times New Roman"/>
          <w:b/>
          <w:sz w:val="20"/>
        </w:rPr>
        <w:t xml:space="preserve">Manufacturing </w:t>
      </w:r>
    </w:p>
    <w:p>
      <w:pPr>
        <w:pStyle w:val="TextBody"/>
        <w:bidi w:val="0"/>
        <w:spacing w:before="120" w:after="0"/>
        <w:jc w:val="both"/>
        <w:rPr>
          <w:rFonts w:ascii="Times New Roman" w:hAnsi="Times New Roman"/>
          <w:sz w:val="20"/>
        </w:rPr>
      </w:pPr>
      <w:r>
        <w:rPr>
          <w:rFonts w:ascii="Times New Roman" w:hAnsi="Times New Roman"/>
          <w:sz w:val="20"/>
        </w:rPr>
        <w:t xml:space="preserve">We oversee and manage third party contract manufacturing organizations (CMOs) to support development and manufacture of product candidates for our clinical trials. We expect our strategy to use CMOs will enable us to maintain a more efficient infrastructure, avoiding the necessity to acquire our own manufacturing facility and equipment, while simultaneously enabling us to focus our expertise on the clinical development and the potential future commercialization of our products. Currently, we rely on and have agreements with multiple third-party CMOs to manufacture and supply active pharmaceutical ingredient (API) and drug product (DP) for our clinical trials. In the event we advance any of our drug candidates to Phase 3 clinical trials, we anticipate the need to enter into a manufacture and supply agreement with, and transfer API and DP manufacture to, one or more larger third-party CMOs with whom we would also likely enter into commercial supply agreements with prior to any potential regulatory approval if any of our drug candidates are commercialized. The DP for our drug candidates is manufactured via conventional pharmaceutical processing procedures, employing commonly-used and commercially available excipients and packaging materials. The process, equipment and methods employed for manufacture and analysis are consistent with standard biologics synthesis or pharmaceutical production, and are transferable to a range of manufacturing facilities, if needed.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both"/>
        <w:rPr>
          <w:rFonts w:ascii="Times New Roman" w:hAnsi="Times New Roman"/>
          <w:sz w:val="20"/>
        </w:rPr>
      </w:pPr>
      <w:r>
        <w:rPr>
          <w:rFonts w:ascii="Times New Roman" w:hAnsi="Times New Roman"/>
          <w:sz w:val="20"/>
        </w:rPr>
        <w:t xml:space="preserve">We face substantial competition from multiple sources, including large and specialty pharmaceutical and biotechnology companies, academic research institutions and governmental agencies and public and private research institutions. Our competitors compete with us on the level of the technologies employed, or on the level of development of product candidates. In addition, many small biotechnology companies have formed collaborations with large, established companies to obtain support for their research, development and commercialization of products or combine several treatment approaches to develop longer lasting or more efficacious treatments that may potentially directly compete with our current or future product candidates. We anticipate that we will continue to face increasing competition as new therapies and combinations thereof, technologies, and data emerge for the treatment of chronic pruritic (itch) and/or inflammatory diseases such as CPUO, CP, UP and AD. </w:t>
      </w:r>
    </w:p>
    <w:p>
      <w:pPr>
        <w:pStyle w:val="TextBody"/>
        <w:bidi w:val="0"/>
        <w:spacing w:before="240" w:after="0"/>
        <w:jc w:val="both"/>
        <w:rPr>
          <w:rFonts w:ascii="Times New Roman" w:hAnsi="Times New Roman"/>
          <w:sz w:val="20"/>
        </w:rPr>
      </w:pPr>
      <w:r>
        <w:rPr>
          <w:rFonts w:ascii="Times New Roman" w:hAnsi="Times New Roman"/>
          <w:sz w:val="20"/>
        </w:rPr>
        <w:t xml:space="preserve">Our current product candidates, initially under development for treatment of chronic pruritic (itch) and/or inflammatory diseases such as CPUO, CP, UP and AD, if approved, would face competition from approved treatments, some of which have achieved commercial success. To compete successfully, we need to differentiate our product candidates from these currently marketed drugs, meaning that we will have to demonstrate that the relative cost, method of administration, safety, tolerability or efficacy of our product candidates provides a better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alternative to existing and new therapies. Our commercial opportunity and likelihood of success will be reduced or eliminated if our product candidates, if approved, are not ultimately demonstrated to be safer, more effective, more conveniently administered, or less expensive than the current standards of care. Furthermore, even if our product candidates are able to achieve these attributes, acceptance of our products, if approved, may be inhibited by the reluctance of physicians to switch from existing therapies to our products, or if physicians choose to reserve our products for use in limited circumstances. </w:t>
      </w:r>
    </w:p>
    <w:p>
      <w:pPr>
        <w:pStyle w:val="TextBody"/>
        <w:bidi w:val="0"/>
        <w:spacing w:before="240" w:after="0"/>
        <w:jc w:val="both"/>
        <w:rPr>
          <w:rFonts w:ascii="Times New Roman" w:hAnsi="Times New Roman"/>
          <w:sz w:val="20"/>
        </w:rPr>
      </w:pPr>
      <w:r>
        <w:rPr>
          <w:rFonts w:ascii="Times New Roman" w:hAnsi="Times New Roman"/>
          <w:sz w:val="20"/>
        </w:rPr>
        <w:t xml:space="preserve">In addition to the current standard of care treatments for patients with chronic pruritic (itch) diseases such as CPUO, CP, UP and AD, numerous commercial and academic preclinical studies and clinical trials are being undertaken by other parties to assess novel technologies and product candidates in our disease areas of focus. </w:t>
      </w:r>
    </w:p>
    <w:p>
      <w:pPr>
        <w:pStyle w:val="TextBody"/>
        <w:bidi w:val="0"/>
        <w:spacing w:before="240" w:after="0"/>
        <w:jc w:val="both"/>
        <w:rPr>
          <w:rFonts w:ascii="Times New Roman" w:hAnsi="Times New Roman"/>
          <w:sz w:val="20"/>
        </w:rPr>
      </w:pPr>
      <w:r>
        <w:rPr>
          <w:rFonts w:ascii="Times New Roman" w:hAnsi="Times New Roman"/>
          <w:sz w:val="20"/>
        </w:rPr>
        <w:t xml:space="preserve">Many of our competitors, either alone or in combination with their respective strategic partners, have significantly greater financial resources and expertise in research and development, manufacturing, the regulatory approval process, and marketing than we do. Mergers and acquisition activity in the pharmaceutical, biopharmaceutical and biotechnology sector is likely to result in greater resource concentration among a smaller number of our competitors. Smaller or early-stage companies may also prove to be significant competitors, particularly through sizeable collaborative arrangements with established companies. These competitors also compete with us in recruiting and retaining qualified scientific and management personnel, establishing clinical trial sites and patient registration for clinical trials, as well as in acquiring technologies complementary to, or necessary for, our programs. </w:t>
      </w:r>
    </w:p>
    <w:p>
      <w:pPr>
        <w:pStyle w:val="TextBody"/>
        <w:bidi w:val="0"/>
        <w:spacing w:before="240" w:after="0"/>
        <w:jc w:val="both"/>
        <w:rPr>
          <w:rFonts w:ascii="Times New Roman" w:hAnsi="Times New Roman"/>
          <w:sz w:val="20"/>
        </w:rPr>
      </w:pPr>
      <w:r>
        <w:rPr>
          <w:rFonts w:ascii="Times New Roman" w:hAnsi="Times New Roman"/>
          <w:sz w:val="20"/>
        </w:rPr>
        <w:t xml:space="preserve">Our commercial opportunity could be reduced or eliminated if one or more of our competitors develop and commercialize products that are safer, more effective, better tolerated, or of greater convenience or economic benefit than our proposed product offering. Our competitors also may be in a position to obtain FDA or other regulatory approval for their products more rapidly, resulting in a stronger or dominant market position before we are able to enter the market. The key competitive factors affecting the success of all of our programs are likely to be product safety, efficacy, convenience and treatment cost. </w:t>
      </w:r>
    </w:p>
    <w:p>
      <w:pPr>
        <w:pStyle w:val="TextBody"/>
        <w:bidi w:val="0"/>
        <w:spacing w:before="360" w:after="0"/>
        <w:jc w:val="left"/>
        <w:rPr>
          <w:rFonts w:ascii="Times New Roman" w:hAnsi="Times New Roman"/>
          <w:b/>
          <w:sz w:val="20"/>
        </w:rPr>
      </w:pPr>
      <w:r>
        <w:rPr>
          <w:rFonts w:ascii="Times New Roman" w:hAnsi="Times New Roman"/>
          <w:b/>
          <w:sz w:val="20"/>
        </w:rPr>
        <w:t xml:space="preserve">Facilities </w:t>
      </w:r>
    </w:p>
    <w:p>
      <w:pPr>
        <w:pStyle w:val="TextBody"/>
        <w:bidi w:val="0"/>
        <w:spacing w:before="120" w:after="0"/>
        <w:jc w:val="both"/>
        <w:rPr>
          <w:rFonts w:ascii="Times New Roman" w:hAnsi="Times New Roman"/>
          <w:sz w:val="20"/>
        </w:rPr>
      </w:pPr>
      <w:r>
        <w:rPr>
          <w:rFonts w:ascii="Times New Roman" w:hAnsi="Times New Roman"/>
          <w:sz w:val="20"/>
        </w:rPr>
        <w:t xml:space="preserve">Our headquarters are located in San Carlos, California where we lease and occupy 26,062 square feet of office and laboratory space. The current term of our lease expires on June 30, 2028. </w:t>
      </w:r>
    </w:p>
    <w:p>
      <w:pPr>
        <w:pStyle w:val="TextBody"/>
        <w:bidi w:val="0"/>
        <w:spacing w:before="240" w:after="0"/>
        <w:jc w:val="both"/>
        <w:rPr>
          <w:rFonts w:ascii="Times New Roman" w:hAnsi="Times New Roman"/>
          <w:sz w:val="20"/>
        </w:rPr>
      </w:pPr>
      <w:r>
        <w:rPr>
          <w:rFonts w:ascii="Times New Roman" w:hAnsi="Times New Roman"/>
          <w:sz w:val="20"/>
        </w:rPr>
        <w:t xml:space="preserve">We believe that our existing facilities are sufficient to meet our near-term needs and that suitable additional space will be available as and when needed.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both"/>
        <w:rPr>
          <w:rFonts w:ascii="Times New Roman" w:hAnsi="Times New Roman"/>
          <w:sz w:val="20"/>
        </w:rPr>
      </w:pPr>
      <w:r>
        <w:rPr>
          <w:rFonts w:ascii="Times New Roman" w:hAnsi="Times New Roman"/>
          <w:sz w:val="20"/>
        </w:rPr>
        <w:t xml:space="preserve">From time to time, we may be subject to legal proceedings. We are not currently a party to or aware of any legal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3" w:name="tx40469_11"/>
      <w:bookmarkEnd w:id="13"/>
      <w:r>
        <w:rPr>
          <w:rFonts w:ascii="Times New Roman" w:hAnsi="Times New Roman"/>
          <w:b/>
          <w:sz w:val="20"/>
        </w:rPr>
        <w:t xml:space="preserve">MANAGEMENT </w:t>
      </w:r>
    </w:p>
    <w:p>
      <w:pPr>
        <w:pStyle w:val="TextBody"/>
        <w:bidi w:val="0"/>
        <w:spacing w:before="240" w:after="0"/>
        <w:jc w:val="left"/>
        <w:rPr>
          <w:rFonts w:ascii="Times New Roman" w:hAnsi="Times New Roman"/>
          <w:b/>
          <w:sz w:val="20"/>
        </w:rPr>
      </w:pPr>
      <w:r>
        <w:rPr>
          <w:rFonts w:ascii="Times New Roman" w:hAnsi="Times New Roman"/>
          <w:b/>
          <w:sz w:val="20"/>
        </w:rPr>
        <w:t xml:space="preserve">Executive Officers and Directors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provides information, including ages as of July 1, 2026, regarding our executive officers and directors: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28"/>
        <w:gridCol w:w="240"/>
        <w:gridCol w:w="426"/>
        <w:gridCol w:w="240"/>
        <w:gridCol w:w="4371"/>
      </w:tblGrid>
      <w:tr>
        <w:trPr/>
        <w:tc>
          <w:tcPr>
            <w:tcW w:w="4928"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4371" w:type="dxa"/>
            <w:tcBorders/>
            <w:vAlign w:val="center"/>
          </w:tcPr>
          <w:p>
            <w:pPr>
              <w:pStyle w:val="TableContents"/>
              <w:bidi w:val="0"/>
              <w:spacing w:before="0" w:after="283"/>
              <w:jc w:val="left"/>
              <w:rPr>
                <w:sz w:val="4"/>
                <w:szCs w:val="4"/>
              </w:rPr>
            </w:pPr>
            <w:r>
              <w:rPr>
                <w:sz w:val="4"/>
                <w:szCs w:val="4"/>
              </w:rPr>
            </w:r>
          </w:p>
        </w:tc>
      </w:tr>
      <w:tr>
        <w:trPr/>
        <w:tc>
          <w:tcPr>
            <w:tcW w:w="492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240" w:type="dxa"/>
            <w:tcBorders/>
            <w:vAlign w:val="bottom"/>
          </w:tcPr>
          <w:p>
            <w:pPr>
              <w:pStyle w:val="TableContents"/>
              <w:bidi w:val="0"/>
              <w:spacing w:before="0" w:after="283"/>
              <w:jc w:val="left"/>
              <w:rPr/>
            </w:pPr>
            <w:r>
              <w:rPr/>
              <w:t>  </w:t>
            </w:r>
          </w:p>
        </w:tc>
        <w:tc>
          <w:tcPr>
            <w:tcW w:w="426" w:type="dxa"/>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240" w:type="dxa"/>
            <w:tcBorders/>
            <w:vAlign w:val="bottom"/>
          </w:tcPr>
          <w:p>
            <w:pPr>
              <w:pStyle w:val="TableContents"/>
              <w:bidi w:val="0"/>
              <w:spacing w:before="0" w:after="283"/>
              <w:jc w:val="left"/>
              <w:rPr/>
            </w:pPr>
            <w:r>
              <w:rPr/>
              <w:t>  </w:t>
            </w:r>
          </w:p>
        </w:tc>
        <w:tc>
          <w:tcPr>
            <w:tcW w:w="43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Position(s)</w:t>
            </w:r>
          </w:p>
        </w:tc>
      </w:tr>
      <w:tr>
        <w:trPr/>
        <w:tc>
          <w:tcPr>
            <w:tcW w:w="4928" w:type="dxa"/>
            <w:tcBorders/>
          </w:tcPr>
          <w:p>
            <w:pPr>
              <w:pStyle w:val="TableContents"/>
              <w:bidi w:val="0"/>
              <w:spacing w:before="0" w:after="283"/>
              <w:jc w:val="left"/>
              <w:rPr>
                <w:b/>
                <w:i/>
              </w:rPr>
            </w:pPr>
            <w:r>
              <w:rPr>
                <w:b/>
                <w:i/>
              </w:rPr>
              <w:t>Executive Officers and Employee Directors</w:t>
            </w:r>
          </w:p>
        </w:tc>
        <w:tc>
          <w:tcPr>
            <w:tcW w:w="240" w:type="dxa"/>
            <w:tcBorders/>
            <w:vAlign w:val="bottom"/>
          </w:tcPr>
          <w:p>
            <w:pPr>
              <w:pStyle w:val="TableContents"/>
              <w:bidi w:val="0"/>
              <w:spacing w:before="0" w:after="283"/>
              <w:jc w:val="left"/>
              <w:rPr/>
            </w:pPr>
            <w:r>
              <w:rPr/>
              <w:t>  </w:t>
            </w:r>
          </w:p>
        </w:tc>
        <w:tc>
          <w:tcPr>
            <w:tcW w:w="426" w:type="dxa"/>
            <w:tcBorders/>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4371" w:type="dxa"/>
            <w:tcBorders/>
          </w:tcPr>
          <w:p>
            <w:pPr>
              <w:pStyle w:val="TableContents"/>
              <w:bidi w:val="0"/>
              <w:spacing w:before="0" w:after="283"/>
              <w:jc w:val="left"/>
              <w:rPr>
                <w:sz w:val="4"/>
                <w:szCs w:val="4"/>
              </w:rPr>
            </w:pPr>
            <w:r>
              <w:rPr>
                <w:sz w:val="4"/>
                <w:szCs w:val="4"/>
              </w:rPr>
            </w:r>
          </w:p>
        </w:tc>
      </w:tr>
      <w:tr>
        <w:trPr/>
        <w:tc>
          <w:tcPr>
            <w:tcW w:w="4928" w:type="dxa"/>
            <w:tcBorders/>
          </w:tcPr>
          <w:p>
            <w:pPr>
              <w:pStyle w:val="TableContents"/>
              <w:bidi w:val="0"/>
              <w:spacing w:before="0" w:after="0"/>
              <w:jc w:val="both"/>
              <w:rPr>
                <w:rFonts w:ascii="Times New Roman" w:hAnsi="Times New Roman"/>
                <w:sz w:val="20"/>
              </w:rPr>
            </w:pPr>
            <w:r>
              <w:rPr>
                <w:rFonts w:ascii="Times New Roman" w:hAnsi="Times New Roman"/>
                <w:sz w:val="20"/>
              </w:rPr>
              <w:t>Tao Fu</w:t>
            </w:r>
          </w:p>
        </w:tc>
        <w:tc>
          <w:tcPr>
            <w:tcW w:w="240" w:type="dxa"/>
            <w:tcBorders/>
            <w:vAlign w:val="bottom"/>
          </w:tcPr>
          <w:p>
            <w:pPr>
              <w:pStyle w:val="TableContents"/>
              <w:bidi w:val="0"/>
              <w:spacing w:before="0" w:after="283"/>
              <w:jc w:val="left"/>
              <w:rPr/>
            </w:pPr>
            <w:r>
              <w:rPr/>
              <w:t>  </w:t>
            </w:r>
          </w:p>
        </w:tc>
        <w:tc>
          <w:tcPr>
            <w:tcW w:w="426" w:type="dxa"/>
            <w:tcBorders/>
          </w:tcPr>
          <w:p>
            <w:pPr>
              <w:pStyle w:val="TableContents"/>
              <w:bidi w:val="0"/>
              <w:spacing w:before="0" w:after="0"/>
              <w:jc w:val="both"/>
              <w:rPr>
                <w:rFonts w:ascii="Times New Roman" w:hAnsi="Times New Roman"/>
                <w:sz w:val="20"/>
              </w:rPr>
            </w:pPr>
            <w:r>
              <w:rPr>
                <w:rFonts w:ascii="Times New Roman" w:hAnsi="Times New Roman"/>
                <w:sz w:val="20"/>
              </w:rPr>
              <w:t>54</w:t>
            </w:r>
          </w:p>
        </w:tc>
        <w:tc>
          <w:tcPr>
            <w:tcW w:w="240" w:type="dxa"/>
            <w:tcBorders/>
            <w:vAlign w:val="bottom"/>
          </w:tcPr>
          <w:p>
            <w:pPr>
              <w:pStyle w:val="TableContents"/>
              <w:bidi w:val="0"/>
              <w:spacing w:before="0" w:after="283"/>
              <w:jc w:val="left"/>
              <w:rPr/>
            </w:pPr>
            <w:r>
              <w:rPr/>
              <w:t>  </w:t>
            </w:r>
          </w:p>
        </w:tc>
        <w:tc>
          <w:tcPr>
            <w:tcW w:w="4371" w:type="dxa"/>
            <w:tcBorders/>
          </w:tcPr>
          <w:p>
            <w:pPr>
              <w:pStyle w:val="TableContents"/>
              <w:bidi w:val="0"/>
              <w:spacing w:before="0" w:after="0"/>
              <w:jc w:val="both"/>
              <w:rPr>
                <w:rFonts w:ascii="Times New Roman" w:hAnsi="Times New Roman"/>
                <w:sz w:val="20"/>
              </w:rPr>
            </w:pPr>
            <w:r>
              <w:rPr>
                <w:rFonts w:ascii="Times New Roman" w:hAnsi="Times New Roman"/>
                <w:sz w:val="20"/>
              </w:rPr>
              <w:t>Chief Executive Officer, President and Director</w:t>
            </w:r>
          </w:p>
        </w:tc>
      </w:tr>
      <w:tr>
        <w:trPr/>
        <w:tc>
          <w:tcPr>
            <w:tcW w:w="4928" w:type="dxa"/>
            <w:tcBorders/>
          </w:tcPr>
          <w:p>
            <w:pPr>
              <w:pStyle w:val="TableContents"/>
              <w:bidi w:val="0"/>
              <w:spacing w:before="0" w:after="0"/>
              <w:jc w:val="both"/>
              <w:rPr>
                <w:rFonts w:ascii="Times New Roman" w:hAnsi="Times New Roman"/>
                <w:sz w:val="20"/>
              </w:rPr>
            </w:pPr>
            <w:r>
              <w:rPr>
                <w:rFonts w:ascii="Times New Roman" w:hAnsi="Times New Roman"/>
                <w:sz w:val="20"/>
              </w:rPr>
              <w:t>Zaneta Odrowaz, Ph.D.</w:t>
            </w:r>
          </w:p>
        </w:tc>
        <w:tc>
          <w:tcPr>
            <w:tcW w:w="240" w:type="dxa"/>
            <w:tcBorders/>
            <w:vAlign w:val="bottom"/>
          </w:tcPr>
          <w:p>
            <w:pPr>
              <w:pStyle w:val="TableContents"/>
              <w:bidi w:val="0"/>
              <w:spacing w:before="0" w:after="283"/>
              <w:jc w:val="left"/>
              <w:rPr/>
            </w:pPr>
            <w:r>
              <w:rPr/>
              <w:t>  </w:t>
            </w:r>
          </w:p>
        </w:tc>
        <w:tc>
          <w:tcPr>
            <w:tcW w:w="426" w:type="dxa"/>
            <w:tcBorders/>
          </w:tcPr>
          <w:p>
            <w:pPr>
              <w:pStyle w:val="TableContents"/>
              <w:bidi w:val="0"/>
              <w:spacing w:before="0" w:after="0"/>
              <w:jc w:val="both"/>
              <w:rPr>
                <w:rFonts w:ascii="Times New Roman" w:hAnsi="Times New Roman"/>
                <w:sz w:val="20"/>
              </w:rPr>
            </w:pPr>
            <w:r>
              <w:rPr>
                <w:rFonts w:ascii="Times New Roman" w:hAnsi="Times New Roman"/>
                <w:sz w:val="20"/>
              </w:rPr>
              <w:t>42</w:t>
            </w:r>
          </w:p>
        </w:tc>
        <w:tc>
          <w:tcPr>
            <w:tcW w:w="240" w:type="dxa"/>
            <w:tcBorders/>
            <w:vAlign w:val="bottom"/>
          </w:tcPr>
          <w:p>
            <w:pPr>
              <w:pStyle w:val="TableContents"/>
              <w:bidi w:val="0"/>
              <w:spacing w:before="0" w:after="283"/>
              <w:jc w:val="left"/>
              <w:rPr/>
            </w:pPr>
            <w:r>
              <w:rPr/>
              <w:t>  </w:t>
            </w:r>
          </w:p>
        </w:tc>
        <w:tc>
          <w:tcPr>
            <w:tcW w:w="4371" w:type="dxa"/>
            <w:tcBorders/>
          </w:tcPr>
          <w:p>
            <w:pPr>
              <w:pStyle w:val="TableContents"/>
              <w:bidi w:val="0"/>
              <w:spacing w:before="0" w:after="0"/>
              <w:jc w:val="both"/>
              <w:rPr>
                <w:rFonts w:ascii="Times New Roman" w:hAnsi="Times New Roman"/>
                <w:sz w:val="20"/>
              </w:rPr>
            </w:pPr>
            <w:r>
              <w:rPr>
                <w:rFonts w:ascii="Times New Roman" w:hAnsi="Times New Roman"/>
                <w:sz w:val="20"/>
              </w:rPr>
              <w:t>Chief Business Officer, Treasurer, Secretary</w:t>
            </w:r>
          </w:p>
        </w:tc>
      </w:tr>
      <w:tr>
        <w:trPr/>
        <w:tc>
          <w:tcPr>
            <w:tcW w:w="4928" w:type="dxa"/>
            <w:tcBorders/>
          </w:tcPr>
          <w:p>
            <w:pPr>
              <w:pStyle w:val="TableContents"/>
              <w:bidi w:val="0"/>
              <w:spacing w:before="0" w:after="0"/>
              <w:jc w:val="both"/>
              <w:rPr>
                <w:rFonts w:ascii="Times New Roman" w:hAnsi="Times New Roman"/>
                <w:sz w:val="20"/>
              </w:rPr>
            </w:pPr>
            <w:r>
              <w:rPr>
                <w:rFonts w:ascii="Times New Roman" w:hAnsi="Times New Roman"/>
                <w:sz w:val="20"/>
              </w:rPr>
              <w:t>Steven Chan</w:t>
            </w:r>
          </w:p>
        </w:tc>
        <w:tc>
          <w:tcPr>
            <w:tcW w:w="240" w:type="dxa"/>
            <w:tcBorders/>
            <w:vAlign w:val="bottom"/>
          </w:tcPr>
          <w:p>
            <w:pPr>
              <w:pStyle w:val="TableContents"/>
              <w:bidi w:val="0"/>
              <w:spacing w:before="0" w:after="283"/>
              <w:jc w:val="left"/>
              <w:rPr/>
            </w:pPr>
            <w:r>
              <w:rPr/>
              <w:t>  </w:t>
            </w:r>
          </w:p>
        </w:tc>
        <w:tc>
          <w:tcPr>
            <w:tcW w:w="426" w:type="dxa"/>
            <w:tcBorders/>
          </w:tcPr>
          <w:p>
            <w:pPr>
              <w:pStyle w:val="TableContents"/>
              <w:bidi w:val="0"/>
              <w:spacing w:before="0" w:after="0"/>
              <w:jc w:val="both"/>
              <w:rPr>
                <w:rFonts w:ascii="Times New Roman" w:hAnsi="Times New Roman"/>
                <w:sz w:val="20"/>
              </w:rPr>
            </w:pPr>
            <w:r>
              <w:rPr>
                <w:rFonts w:ascii="Times New Roman" w:hAnsi="Times New Roman"/>
                <w:sz w:val="20"/>
              </w:rPr>
              <w:t>54</w:t>
            </w:r>
          </w:p>
        </w:tc>
        <w:tc>
          <w:tcPr>
            <w:tcW w:w="240" w:type="dxa"/>
            <w:tcBorders/>
            <w:vAlign w:val="bottom"/>
          </w:tcPr>
          <w:p>
            <w:pPr>
              <w:pStyle w:val="TableContents"/>
              <w:bidi w:val="0"/>
              <w:spacing w:before="0" w:after="283"/>
              <w:jc w:val="left"/>
              <w:rPr/>
            </w:pPr>
            <w:r>
              <w:rPr/>
              <w:t>  </w:t>
            </w:r>
          </w:p>
        </w:tc>
        <w:tc>
          <w:tcPr>
            <w:tcW w:w="4371" w:type="dxa"/>
            <w:tcBorders/>
          </w:tcPr>
          <w:p>
            <w:pPr>
              <w:pStyle w:val="TableContents"/>
              <w:bidi w:val="0"/>
              <w:spacing w:before="0" w:after="0"/>
              <w:jc w:val="both"/>
              <w:rPr>
                <w:rFonts w:ascii="Times New Roman" w:hAnsi="Times New Roman"/>
                <w:sz w:val="20"/>
              </w:rPr>
            </w:pPr>
            <w:r>
              <w:rPr>
                <w:rFonts w:ascii="Times New Roman" w:hAnsi="Times New Roman"/>
                <w:sz w:val="20"/>
              </w:rPr>
              <w:t>Chief Financial Officer</w:t>
            </w:r>
          </w:p>
        </w:tc>
      </w:tr>
      <w:tr>
        <w:trPr/>
        <w:tc>
          <w:tcPr>
            <w:tcW w:w="4928" w:type="dxa"/>
            <w:tcBorders/>
          </w:tcPr>
          <w:p>
            <w:pPr>
              <w:pStyle w:val="TableContents"/>
              <w:bidi w:val="0"/>
              <w:spacing w:before="0" w:after="0"/>
              <w:jc w:val="both"/>
              <w:rPr>
                <w:rFonts w:ascii="Times New Roman" w:hAnsi="Times New Roman"/>
                <w:sz w:val="20"/>
              </w:rPr>
            </w:pPr>
            <w:r>
              <w:rPr>
                <w:rFonts w:ascii="Times New Roman" w:hAnsi="Times New Roman"/>
                <w:sz w:val="20"/>
              </w:rPr>
              <w:t>Petter Veiby</w:t>
            </w:r>
          </w:p>
        </w:tc>
        <w:tc>
          <w:tcPr>
            <w:tcW w:w="240" w:type="dxa"/>
            <w:tcBorders/>
            <w:vAlign w:val="bottom"/>
          </w:tcPr>
          <w:p>
            <w:pPr>
              <w:pStyle w:val="TableContents"/>
              <w:bidi w:val="0"/>
              <w:spacing w:before="0" w:after="283"/>
              <w:jc w:val="left"/>
              <w:rPr/>
            </w:pPr>
            <w:r>
              <w:rPr/>
              <w:t>  </w:t>
            </w:r>
          </w:p>
        </w:tc>
        <w:tc>
          <w:tcPr>
            <w:tcW w:w="426" w:type="dxa"/>
            <w:tcBorders/>
          </w:tcPr>
          <w:p>
            <w:pPr>
              <w:pStyle w:val="TableContents"/>
              <w:bidi w:val="0"/>
              <w:spacing w:before="0" w:after="0"/>
              <w:jc w:val="both"/>
              <w:rPr>
                <w:rFonts w:ascii="Times New Roman" w:hAnsi="Times New Roman"/>
                <w:sz w:val="20"/>
              </w:rPr>
            </w:pPr>
            <w:r>
              <w:rPr>
                <w:rFonts w:ascii="Times New Roman" w:hAnsi="Times New Roman"/>
                <w:sz w:val="20"/>
              </w:rPr>
              <w:t>61</w:t>
            </w:r>
          </w:p>
        </w:tc>
        <w:tc>
          <w:tcPr>
            <w:tcW w:w="240" w:type="dxa"/>
            <w:tcBorders/>
            <w:vAlign w:val="bottom"/>
          </w:tcPr>
          <w:p>
            <w:pPr>
              <w:pStyle w:val="TableContents"/>
              <w:bidi w:val="0"/>
              <w:spacing w:before="0" w:after="283"/>
              <w:jc w:val="left"/>
              <w:rPr/>
            </w:pPr>
            <w:r>
              <w:rPr/>
              <w:t>  </w:t>
            </w:r>
          </w:p>
        </w:tc>
        <w:tc>
          <w:tcPr>
            <w:tcW w:w="4371" w:type="dxa"/>
            <w:tcBorders/>
          </w:tcPr>
          <w:p>
            <w:pPr>
              <w:pStyle w:val="TableContents"/>
              <w:bidi w:val="0"/>
              <w:spacing w:before="0" w:after="0"/>
              <w:jc w:val="both"/>
              <w:rPr>
                <w:rFonts w:ascii="Times New Roman" w:hAnsi="Times New Roman"/>
                <w:sz w:val="20"/>
              </w:rPr>
            </w:pPr>
            <w:r>
              <w:rPr>
                <w:rFonts w:ascii="Times New Roman" w:hAnsi="Times New Roman"/>
                <w:sz w:val="20"/>
              </w:rPr>
              <w:t>Chief Scientific Officer</w:t>
            </w:r>
          </w:p>
        </w:tc>
      </w:tr>
      <w:tr>
        <w:trPr/>
        <w:tc>
          <w:tcPr>
            <w:tcW w:w="4928" w:type="dxa"/>
            <w:tcBorders/>
          </w:tcPr>
          <w:p>
            <w:pPr>
              <w:pStyle w:val="TableContents"/>
              <w:bidi w:val="0"/>
              <w:spacing w:before="0" w:after="0"/>
              <w:jc w:val="both"/>
              <w:rPr>
                <w:rFonts w:ascii="Times New Roman" w:hAnsi="Times New Roman"/>
                <w:sz w:val="20"/>
              </w:rPr>
            </w:pPr>
            <w:r>
              <w:rPr>
                <w:rFonts w:ascii="Times New Roman" w:hAnsi="Times New Roman"/>
                <w:sz w:val="20"/>
              </w:rPr>
              <w:t>Hubert Chen, M.D.</w:t>
            </w:r>
          </w:p>
        </w:tc>
        <w:tc>
          <w:tcPr>
            <w:tcW w:w="240" w:type="dxa"/>
            <w:tcBorders/>
            <w:vAlign w:val="bottom"/>
          </w:tcPr>
          <w:p>
            <w:pPr>
              <w:pStyle w:val="TableContents"/>
              <w:bidi w:val="0"/>
              <w:spacing w:before="0" w:after="283"/>
              <w:jc w:val="left"/>
              <w:rPr/>
            </w:pPr>
            <w:r>
              <w:rPr/>
              <w:t>  </w:t>
            </w:r>
          </w:p>
        </w:tc>
        <w:tc>
          <w:tcPr>
            <w:tcW w:w="426" w:type="dxa"/>
            <w:tcBorders/>
          </w:tcPr>
          <w:p>
            <w:pPr>
              <w:pStyle w:val="TableContents"/>
              <w:bidi w:val="0"/>
              <w:spacing w:before="0" w:after="0"/>
              <w:jc w:val="both"/>
              <w:rPr>
                <w:rFonts w:ascii="Times New Roman" w:hAnsi="Times New Roman"/>
                <w:sz w:val="20"/>
              </w:rPr>
            </w:pPr>
            <w:r>
              <w:rPr>
                <w:rFonts w:ascii="Times New Roman" w:hAnsi="Times New Roman"/>
                <w:sz w:val="20"/>
              </w:rPr>
              <w:t>54</w:t>
            </w:r>
          </w:p>
        </w:tc>
        <w:tc>
          <w:tcPr>
            <w:tcW w:w="240" w:type="dxa"/>
            <w:tcBorders/>
            <w:vAlign w:val="bottom"/>
          </w:tcPr>
          <w:p>
            <w:pPr>
              <w:pStyle w:val="TableContents"/>
              <w:bidi w:val="0"/>
              <w:spacing w:before="0" w:after="283"/>
              <w:jc w:val="left"/>
              <w:rPr/>
            </w:pPr>
            <w:r>
              <w:rPr/>
              <w:t>  </w:t>
            </w:r>
          </w:p>
        </w:tc>
        <w:tc>
          <w:tcPr>
            <w:tcW w:w="4371" w:type="dxa"/>
            <w:tcBorders/>
          </w:tcPr>
          <w:p>
            <w:pPr>
              <w:pStyle w:val="TableContents"/>
              <w:bidi w:val="0"/>
              <w:spacing w:before="0" w:after="0"/>
              <w:jc w:val="both"/>
              <w:rPr>
                <w:rFonts w:ascii="Times New Roman" w:hAnsi="Times New Roman"/>
                <w:sz w:val="20"/>
              </w:rPr>
            </w:pPr>
            <w:r>
              <w:rPr>
                <w:rFonts w:ascii="Times New Roman" w:hAnsi="Times New Roman"/>
                <w:sz w:val="20"/>
              </w:rPr>
              <w:t>Chief Medical Officer</w:t>
            </w:r>
          </w:p>
        </w:tc>
      </w:tr>
      <w:tr>
        <w:trPr>
          <w:trHeight w:val="120" w:hRule="atLeast"/>
        </w:trPr>
        <w:tc>
          <w:tcPr>
            <w:tcW w:w="4928" w:type="dxa"/>
            <w:tcBorders/>
            <w:vAlign w:val="center"/>
          </w:tcPr>
          <w:p>
            <w:pPr>
              <w:pStyle w:val="TableContents"/>
              <w:bidi w:val="0"/>
              <w:spacing w:before="0" w:after="283"/>
              <w:jc w:val="left"/>
              <w:rPr>
                <w:sz w:val="4"/>
                <w:szCs w:val="4"/>
              </w:rPr>
            </w:pPr>
            <w:r>
              <w:rPr>
                <w:sz w:val="4"/>
                <w:szCs w:val="4"/>
              </w:rPr>
            </w:r>
          </w:p>
        </w:tc>
        <w:tc>
          <w:tcPr>
            <w:tcW w:w="666" w:type="dxa"/>
            <w:gridSpan w:val="2"/>
            <w:tcBorders/>
            <w:vAlign w:val="center"/>
          </w:tcPr>
          <w:p>
            <w:pPr>
              <w:pStyle w:val="TableContents"/>
              <w:bidi w:val="0"/>
              <w:spacing w:before="0" w:after="283"/>
              <w:jc w:val="left"/>
              <w:rPr>
                <w:sz w:val="4"/>
                <w:szCs w:val="4"/>
              </w:rPr>
            </w:pPr>
            <w:r>
              <w:rPr>
                <w:sz w:val="4"/>
                <w:szCs w:val="4"/>
              </w:rPr>
            </w:r>
          </w:p>
        </w:tc>
        <w:tc>
          <w:tcPr>
            <w:tcW w:w="4611" w:type="dxa"/>
            <w:gridSpan w:val="2"/>
            <w:tcBorders/>
            <w:vAlign w:val="center"/>
          </w:tcPr>
          <w:p>
            <w:pPr>
              <w:pStyle w:val="TableContents"/>
              <w:bidi w:val="0"/>
              <w:spacing w:before="0" w:after="283"/>
              <w:jc w:val="left"/>
              <w:rPr>
                <w:sz w:val="4"/>
                <w:szCs w:val="4"/>
              </w:rPr>
            </w:pPr>
            <w:r>
              <w:rPr>
                <w:sz w:val="4"/>
                <w:szCs w:val="4"/>
              </w:rPr>
            </w:r>
          </w:p>
        </w:tc>
      </w:tr>
      <w:tr>
        <w:trPr/>
        <w:tc>
          <w:tcPr>
            <w:tcW w:w="4928" w:type="dxa"/>
            <w:tcBorders/>
          </w:tcPr>
          <w:p>
            <w:pPr>
              <w:pStyle w:val="TableContents"/>
              <w:bidi w:val="0"/>
              <w:spacing w:before="0" w:after="283"/>
              <w:jc w:val="left"/>
              <w:rPr>
                <w:b/>
                <w:i/>
              </w:rPr>
            </w:pPr>
            <w:r>
              <w:rPr>
                <w:b/>
                <w:i/>
              </w:rPr>
              <w:t>Non-Employee Directors</w:t>
            </w:r>
          </w:p>
        </w:tc>
        <w:tc>
          <w:tcPr>
            <w:tcW w:w="240" w:type="dxa"/>
            <w:tcBorders/>
            <w:vAlign w:val="bottom"/>
          </w:tcPr>
          <w:p>
            <w:pPr>
              <w:pStyle w:val="TableContents"/>
              <w:bidi w:val="0"/>
              <w:spacing w:before="0" w:after="283"/>
              <w:jc w:val="left"/>
              <w:rPr/>
            </w:pPr>
            <w:r>
              <w:rPr/>
              <w:t>  </w:t>
            </w:r>
          </w:p>
        </w:tc>
        <w:tc>
          <w:tcPr>
            <w:tcW w:w="426" w:type="dxa"/>
            <w:tcBorders/>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4371" w:type="dxa"/>
            <w:tcBorders/>
          </w:tcPr>
          <w:p>
            <w:pPr>
              <w:pStyle w:val="TableContents"/>
              <w:bidi w:val="0"/>
              <w:spacing w:before="0" w:after="283"/>
              <w:jc w:val="left"/>
              <w:rPr>
                <w:sz w:val="4"/>
                <w:szCs w:val="4"/>
              </w:rPr>
            </w:pPr>
            <w:r>
              <w:rPr>
                <w:sz w:val="4"/>
                <w:szCs w:val="4"/>
              </w:rPr>
            </w:r>
          </w:p>
        </w:tc>
      </w:tr>
      <w:tr>
        <w:trPr/>
        <w:tc>
          <w:tcPr>
            <w:tcW w:w="4928" w:type="dxa"/>
            <w:tcBorders/>
          </w:tcPr>
          <w:p>
            <w:pPr>
              <w:pStyle w:val="TableContents"/>
              <w:bidi w:val="0"/>
              <w:spacing w:before="0" w:after="0"/>
              <w:jc w:val="both"/>
              <w:rPr>
                <w:rFonts w:ascii="Times New Roman" w:hAnsi="Times New Roman"/>
                <w:sz w:val="20"/>
              </w:rPr>
            </w:pPr>
            <w:r>
              <w:rPr>
                <w:rFonts w:ascii="Times New Roman" w:hAnsi="Times New Roman"/>
                <w:sz w:val="20"/>
              </w:rPr>
              <w:t>James Topper, M.D., Ph.D.(2)</w:t>
            </w:r>
          </w:p>
        </w:tc>
        <w:tc>
          <w:tcPr>
            <w:tcW w:w="240" w:type="dxa"/>
            <w:tcBorders/>
            <w:vAlign w:val="bottom"/>
          </w:tcPr>
          <w:p>
            <w:pPr>
              <w:pStyle w:val="TableContents"/>
              <w:bidi w:val="0"/>
              <w:spacing w:before="0" w:after="283"/>
              <w:jc w:val="left"/>
              <w:rPr/>
            </w:pPr>
            <w:r>
              <w:rPr/>
              <w:t>  </w:t>
            </w:r>
          </w:p>
        </w:tc>
        <w:tc>
          <w:tcPr>
            <w:tcW w:w="426" w:type="dxa"/>
            <w:tcBorders/>
          </w:tcPr>
          <w:p>
            <w:pPr>
              <w:pStyle w:val="TableContents"/>
              <w:bidi w:val="0"/>
              <w:spacing w:before="0" w:after="0"/>
              <w:jc w:val="both"/>
              <w:rPr>
                <w:rFonts w:ascii="Times New Roman" w:hAnsi="Times New Roman"/>
                <w:sz w:val="20"/>
              </w:rPr>
            </w:pPr>
            <w:r>
              <w:rPr>
                <w:rFonts w:ascii="Times New Roman" w:hAnsi="Times New Roman"/>
                <w:sz w:val="20"/>
              </w:rPr>
              <w:t>64</w:t>
            </w:r>
          </w:p>
        </w:tc>
        <w:tc>
          <w:tcPr>
            <w:tcW w:w="240" w:type="dxa"/>
            <w:tcBorders/>
            <w:vAlign w:val="bottom"/>
          </w:tcPr>
          <w:p>
            <w:pPr>
              <w:pStyle w:val="TableContents"/>
              <w:bidi w:val="0"/>
              <w:spacing w:before="0" w:after="283"/>
              <w:jc w:val="left"/>
              <w:rPr/>
            </w:pPr>
            <w:r>
              <w:rPr/>
              <w:t>  </w:t>
            </w:r>
          </w:p>
        </w:tc>
        <w:tc>
          <w:tcPr>
            <w:tcW w:w="4371" w:type="dxa"/>
            <w:tcBorders/>
          </w:tcPr>
          <w:p>
            <w:pPr>
              <w:pStyle w:val="TableContents"/>
              <w:bidi w:val="0"/>
              <w:spacing w:before="0" w:after="0"/>
              <w:jc w:val="both"/>
              <w:rPr>
                <w:rFonts w:ascii="Times New Roman" w:hAnsi="Times New Roman"/>
                <w:sz w:val="20"/>
              </w:rPr>
            </w:pPr>
            <w:r>
              <w:rPr>
                <w:rFonts w:ascii="Times New Roman" w:hAnsi="Times New Roman"/>
                <w:sz w:val="20"/>
              </w:rPr>
              <w:t>Chairman and Director</w:t>
            </w:r>
          </w:p>
        </w:tc>
      </w:tr>
      <w:tr>
        <w:trPr/>
        <w:tc>
          <w:tcPr>
            <w:tcW w:w="4928" w:type="dxa"/>
            <w:tcBorders/>
          </w:tcPr>
          <w:p>
            <w:pPr>
              <w:pStyle w:val="TableContents"/>
              <w:bidi w:val="0"/>
              <w:spacing w:before="0" w:after="0"/>
              <w:jc w:val="both"/>
              <w:rPr>
                <w:rFonts w:ascii="Times New Roman" w:hAnsi="Times New Roman"/>
                <w:sz w:val="20"/>
              </w:rPr>
            </w:pPr>
            <w:r>
              <w:rPr>
                <w:rFonts w:ascii="Times New Roman" w:hAnsi="Times New Roman"/>
                <w:sz w:val="20"/>
              </w:rPr>
              <w:t>Mitchell Gold, M.D.(1)(2)</w:t>
            </w:r>
          </w:p>
        </w:tc>
        <w:tc>
          <w:tcPr>
            <w:tcW w:w="240" w:type="dxa"/>
            <w:tcBorders/>
            <w:vAlign w:val="bottom"/>
          </w:tcPr>
          <w:p>
            <w:pPr>
              <w:pStyle w:val="TableContents"/>
              <w:bidi w:val="0"/>
              <w:spacing w:before="0" w:after="283"/>
              <w:jc w:val="left"/>
              <w:rPr/>
            </w:pPr>
            <w:r>
              <w:rPr/>
              <w:t>  </w:t>
            </w:r>
          </w:p>
        </w:tc>
        <w:tc>
          <w:tcPr>
            <w:tcW w:w="426" w:type="dxa"/>
            <w:tcBorders/>
          </w:tcPr>
          <w:p>
            <w:pPr>
              <w:pStyle w:val="TableContents"/>
              <w:bidi w:val="0"/>
              <w:spacing w:before="0" w:after="0"/>
              <w:jc w:val="both"/>
              <w:rPr>
                <w:rFonts w:ascii="Times New Roman" w:hAnsi="Times New Roman"/>
                <w:sz w:val="20"/>
              </w:rPr>
            </w:pPr>
            <w:r>
              <w:rPr>
                <w:rFonts w:ascii="Times New Roman" w:hAnsi="Times New Roman"/>
                <w:sz w:val="20"/>
              </w:rPr>
              <w:t>59</w:t>
            </w:r>
          </w:p>
        </w:tc>
        <w:tc>
          <w:tcPr>
            <w:tcW w:w="240" w:type="dxa"/>
            <w:tcBorders/>
            <w:vAlign w:val="bottom"/>
          </w:tcPr>
          <w:p>
            <w:pPr>
              <w:pStyle w:val="TableContents"/>
              <w:bidi w:val="0"/>
              <w:spacing w:before="0" w:after="283"/>
              <w:jc w:val="left"/>
              <w:rPr/>
            </w:pPr>
            <w:r>
              <w:rPr/>
              <w:t>  </w:t>
            </w:r>
          </w:p>
        </w:tc>
        <w:tc>
          <w:tcPr>
            <w:tcW w:w="4371" w:type="dxa"/>
            <w:tcBorders/>
          </w:tcPr>
          <w:p>
            <w:pPr>
              <w:pStyle w:val="TableContents"/>
              <w:bidi w:val="0"/>
              <w:spacing w:before="0" w:after="0"/>
              <w:jc w:val="both"/>
              <w:rPr>
                <w:rFonts w:ascii="Times New Roman" w:hAnsi="Times New Roman"/>
                <w:sz w:val="20"/>
              </w:rPr>
            </w:pPr>
            <w:r>
              <w:rPr>
                <w:rFonts w:ascii="Times New Roman" w:hAnsi="Times New Roman"/>
                <w:sz w:val="20"/>
              </w:rPr>
              <w:t>Director</w:t>
            </w:r>
          </w:p>
        </w:tc>
      </w:tr>
      <w:tr>
        <w:trPr/>
        <w:tc>
          <w:tcPr>
            <w:tcW w:w="4928" w:type="dxa"/>
            <w:tcBorders/>
          </w:tcPr>
          <w:p>
            <w:pPr>
              <w:pStyle w:val="TableContents"/>
              <w:bidi w:val="0"/>
              <w:spacing w:before="0" w:after="0"/>
              <w:jc w:val="both"/>
              <w:rPr>
                <w:rFonts w:ascii="Times New Roman" w:hAnsi="Times New Roman"/>
                <w:sz w:val="20"/>
              </w:rPr>
            </w:pPr>
            <w:r>
              <w:rPr>
                <w:rFonts w:ascii="Times New Roman" w:hAnsi="Times New Roman"/>
                <w:sz w:val="20"/>
              </w:rPr>
              <w:t>Rebecca Luse.(4)</w:t>
            </w:r>
          </w:p>
        </w:tc>
        <w:tc>
          <w:tcPr>
            <w:tcW w:w="240" w:type="dxa"/>
            <w:tcBorders/>
            <w:vAlign w:val="bottom"/>
          </w:tcPr>
          <w:p>
            <w:pPr>
              <w:pStyle w:val="TableContents"/>
              <w:bidi w:val="0"/>
              <w:spacing w:before="0" w:after="283"/>
              <w:jc w:val="left"/>
              <w:rPr/>
            </w:pPr>
            <w:r>
              <w:rPr/>
              <w:t>  </w:t>
            </w:r>
          </w:p>
        </w:tc>
        <w:tc>
          <w:tcPr>
            <w:tcW w:w="426" w:type="dxa"/>
            <w:tcBorders/>
          </w:tcPr>
          <w:p>
            <w:pPr>
              <w:pStyle w:val="TableContents"/>
              <w:bidi w:val="0"/>
              <w:spacing w:before="0" w:after="0"/>
              <w:jc w:val="both"/>
              <w:rPr>
                <w:rFonts w:ascii="Times New Roman" w:hAnsi="Times New Roman"/>
                <w:sz w:val="20"/>
              </w:rPr>
            </w:pPr>
            <w:r>
              <w:rPr>
                <w:rFonts w:ascii="Times New Roman" w:hAnsi="Times New Roman"/>
                <w:sz w:val="20"/>
              </w:rPr>
              <w:t>41</w:t>
            </w:r>
          </w:p>
        </w:tc>
        <w:tc>
          <w:tcPr>
            <w:tcW w:w="240" w:type="dxa"/>
            <w:tcBorders/>
            <w:vAlign w:val="bottom"/>
          </w:tcPr>
          <w:p>
            <w:pPr>
              <w:pStyle w:val="TableContents"/>
              <w:bidi w:val="0"/>
              <w:spacing w:before="0" w:after="283"/>
              <w:jc w:val="left"/>
              <w:rPr/>
            </w:pPr>
            <w:r>
              <w:rPr/>
              <w:t>  </w:t>
            </w:r>
          </w:p>
        </w:tc>
        <w:tc>
          <w:tcPr>
            <w:tcW w:w="4371" w:type="dxa"/>
            <w:tcBorders/>
          </w:tcPr>
          <w:p>
            <w:pPr>
              <w:pStyle w:val="TableContents"/>
              <w:bidi w:val="0"/>
              <w:spacing w:before="0" w:after="0"/>
              <w:jc w:val="both"/>
              <w:rPr>
                <w:rFonts w:ascii="Times New Roman" w:hAnsi="Times New Roman"/>
                <w:sz w:val="20"/>
              </w:rPr>
            </w:pPr>
            <w:r>
              <w:rPr>
                <w:rFonts w:ascii="Times New Roman" w:hAnsi="Times New Roman"/>
                <w:sz w:val="20"/>
              </w:rPr>
              <w:t>Director</w:t>
            </w:r>
          </w:p>
        </w:tc>
      </w:tr>
      <w:tr>
        <w:trPr/>
        <w:tc>
          <w:tcPr>
            <w:tcW w:w="4928" w:type="dxa"/>
            <w:tcBorders/>
          </w:tcPr>
          <w:p>
            <w:pPr>
              <w:pStyle w:val="TableContents"/>
              <w:bidi w:val="0"/>
              <w:spacing w:before="0" w:after="0"/>
              <w:jc w:val="both"/>
              <w:rPr>
                <w:rFonts w:ascii="Times New Roman" w:hAnsi="Times New Roman"/>
                <w:sz w:val="20"/>
              </w:rPr>
            </w:pPr>
            <w:r>
              <w:rPr>
                <w:rFonts w:ascii="Times New Roman" w:hAnsi="Times New Roman"/>
                <w:sz w:val="20"/>
              </w:rPr>
              <w:t>Aaron Royston, M.D.(1)</w:t>
            </w:r>
          </w:p>
        </w:tc>
        <w:tc>
          <w:tcPr>
            <w:tcW w:w="240" w:type="dxa"/>
            <w:tcBorders/>
            <w:vAlign w:val="bottom"/>
          </w:tcPr>
          <w:p>
            <w:pPr>
              <w:pStyle w:val="TableContents"/>
              <w:bidi w:val="0"/>
              <w:spacing w:before="0" w:after="283"/>
              <w:jc w:val="left"/>
              <w:rPr/>
            </w:pPr>
            <w:r>
              <w:rPr/>
              <w:t>  </w:t>
            </w:r>
          </w:p>
        </w:tc>
        <w:tc>
          <w:tcPr>
            <w:tcW w:w="426" w:type="dxa"/>
            <w:tcBorders/>
          </w:tcPr>
          <w:p>
            <w:pPr>
              <w:pStyle w:val="TableContents"/>
              <w:bidi w:val="0"/>
              <w:spacing w:before="0" w:after="0"/>
              <w:jc w:val="both"/>
              <w:rPr>
                <w:rFonts w:ascii="Times New Roman" w:hAnsi="Times New Roman"/>
                <w:sz w:val="20"/>
              </w:rPr>
            </w:pPr>
            <w:r>
              <w:rPr>
                <w:rFonts w:ascii="Times New Roman" w:hAnsi="Times New Roman"/>
                <w:sz w:val="20"/>
              </w:rPr>
              <w:t>41</w:t>
            </w:r>
          </w:p>
        </w:tc>
        <w:tc>
          <w:tcPr>
            <w:tcW w:w="240" w:type="dxa"/>
            <w:tcBorders/>
            <w:vAlign w:val="bottom"/>
          </w:tcPr>
          <w:p>
            <w:pPr>
              <w:pStyle w:val="TableContents"/>
              <w:bidi w:val="0"/>
              <w:spacing w:before="0" w:after="283"/>
              <w:jc w:val="left"/>
              <w:rPr/>
            </w:pPr>
            <w:r>
              <w:rPr/>
              <w:t>  </w:t>
            </w:r>
          </w:p>
        </w:tc>
        <w:tc>
          <w:tcPr>
            <w:tcW w:w="4371" w:type="dxa"/>
            <w:tcBorders/>
          </w:tcPr>
          <w:p>
            <w:pPr>
              <w:pStyle w:val="TableContents"/>
              <w:bidi w:val="0"/>
              <w:spacing w:before="0" w:after="0"/>
              <w:jc w:val="both"/>
              <w:rPr>
                <w:rFonts w:ascii="Times New Roman" w:hAnsi="Times New Roman"/>
                <w:sz w:val="20"/>
              </w:rPr>
            </w:pPr>
            <w:r>
              <w:rPr>
                <w:rFonts w:ascii="Times New Roman" w:hAnsi="Times New Roman"/>
                <w:sz w:val="20"/>
              </w:rPr>
              <w:t>Director</w:t>
            </w:r>
          </w:p>
        </w:tc>
      </w:tr>
      <w:tr>
        <w:trPr/>
        <w:tc>
          <w:tcPr>
            <w:tcW w:w="4928" w:type="dxa"/>
            <w:tcBorders/>
          </w:tcPr>
          <w:p>
            <w:pPr>
              <w:pStyle w:val="TableContents"/>
              <w:bidi w:val="0"/>
              <w:spacing w:before="0" w:after="0"/>
              <w:jc w:val="both"/>
              <w:rPr>
                <w:rFonts w:ascii="Times New Roman" w:hAnsi="Times New Roman"/>
                <w:sz w:val="20"/>
              </w:rPr>
            </w:pPr>
            <w:r>
              <w:rPr>
                <w:rFonts w:ascii="Times New Roman" w:hAnsi="Times New Roman"/>
                <w:sz w:val="20"/>
              </w:rPr>
              <w:t>John W. Smither(1)(3)</w:t>
            </w:r>
          </w:p>
        </w:tc>
        <w:tc>
          <w:tcPr>
            <w:tcW w:w="240" w:type="dxa"/>
            <w:tcBorders/>
            <w:vAlign w:val="bottom"/>
          </w:tcPr>
          <w:p>
            <w:pPr>
              <w:pStyle w:val="TableContents"/>
              <w:bidi w:val="0"/>
              <w:spacing w:before="0" w:after="283"/>
              <w:jc w:val="left"/>
              <w:rPr/>
            </w:pPr>
            <w:r>
              <w:rPr/>
              <w:t>  </w:t>
            </w:r>
          </w:p>
        </w:tc>
        <w:tc>
          <w:tcPr>
            <w:tcW w:w="426" w:type="dxa"/>
            <w:tcBorders/>
          </w:tcPr>
          <w:p>
            <w:pPr>
              <w:pStyle w:val="TableContents"/>
              <w:bidi w:val="0"/>
              <w:spacing w:before="0" w:after="0"/>
              <w:jc w:val="both"/>
              <w:rPr>
                <w:rFonts w:ascii="Times New Roman" w:hAnsi="Times New Roman"/>
                <w:sz w:val="20"/>
              </w:rPr>
            </w:pPr>
            <w:r>
              <w:rPr>
                <w:rFonts w:ascii="Times New Roman" w:hAnsi="Times New Roman"/>
                <w:sz w:val="20"/>
              </w:rPr>
              <w:t>73</w:t>
            </w:r>
          </w:p>
        </w:tc>
        <w:tc>
          <w:tcPr>
            <w:tcW w:w="240" w:type="dxa"/>
            <w:tcBorders/>
            <w:vAlign w:val="bottom"/>
          </w:tcPr>
          <w:p>
            <w:pPr>
              <w:pStyle w:val="TableContents"/>
              <w:bidi w:val="0"/>
              <w:spacing w:before="0" w:after="283"/>
              <w:jc w:val="left"/>
              <w:rPr/>
            </w:pPr>
            <w:r>
              <w:rPr/>
              <w:t>  </w:t>
            </w:r>
          </w:p>
        </w:tc>
        <w:tc>
          <w:tcPr>
            <w:tcW w:w="4371" w:type="dxa"/>
            <w:tcBorders/>
          </w:tcPr>
          <w:p>
            <w:pPr>
              <w:pStyle w:val="TableContents"/>
              <w:bidi w:val="0"/>
              <w:spacing w:before="0" w:after="0"/>
              <w:jc w:val="both"/>
              <w:rPr>
                <w:rFonts w:ascii="Times New Roman" w:hAnsi="Times New Roman"/>
                <w:sz w:val="20"/>
              </w:rPr>
            </w:pPr>
            <w:r>
              <w:rPr>
                <w:rFonts w:ascii="Times New Roman" w:hAnsi="Times New Roman"/>
                <w:sz w:val="20"/>
              </w:rPr>
              <w:t>Director</w:t>
            </w:r>
          </w:p>
        </w:tc>
      </w:tr>
      <w:tr>
        <w:trPr/>
        <w:tc>
          <w:tcPr>
            <w:tcW w:w="4928" w:type="dxa"/>
            <w:tcBorders/>
          </w:tcPr>
          <w:p>
            <w:pPr>
              <w:pStyle w:val="TableContents"/>
              <w:bidi w:val="0"/>
              <w:spacing w:before="0" w:after="0"/>
              <w:jc w:val="both"/>
              <w:rPr>
                <w:rFonts w:ascii="Times New Roman" w:hAnsi="Times New Roman"/>
                <w:sz w:val="20"/>
              </w:rPr>
            </w:pPr>
            <w:r>
              <w:rPr>
                <w:rFonts w:ascii="Times New Roman" w:hAnsi="Times New Roman"/>
                <w:sz w:val="20"/>
              </w:rPr>
              <w:t>Colin Walsh, Ph.D.</w:t>
            </w:r>
          </w:p>
        </w:tc>
        <w:tc>
          <w:tcPr>
            <w:tcW w:w="240" w:type="dxa"/>
            <w:tcBorders/>
            <w:vAlign w:val="bottom"/>
          </w:tcPr>
          <w:p>
            <w:pPr>
              <w:pStyle w:val="TableContents"/>
              <w:bidi w:val="0"/>
              <w:spacing w:before="0" w:after="283"/>
              <w:jc w:val="left"/>
              <w:rPr/>
            </w:pPr>
            <w:r>
              <w:rPr/>
              <w:t>  </w:t>
            </w:r>
          </w:p>
        </w:tc>
        <w:tc>
          <w:tcPr>
            <w:tcW w:w="426" w:type="dxa"/>
            <w:tcBorders/>
          </w:tcPr>
          <w:p>
            <w:pPr>
              <w:pStyle w:val="TableContents"/>
              <w:bidi w:val="0"/>
              <w:spacing w:before="0" w:after="0"/>
              <w:jc w:val="both"/>
              <w:rPr>
                <w:rFonts w:ascii="Times New Roman" w:hAnsi="Times New Roman"/>
                <w:sz w:val="20"/>
              </w:rPr>
            </w:pPr>
            <w:r>
              <w:rPr>
                <w:rFonts w:ascii="Times New Roman" w:hAnsi="Times New Roman"/>
                <w:sz w:val="20"/>
              </w:rPr>
              <w:t>41</w:t>
            </w:r>
          </w:p>
        </w:tc>
        <w:tc>
          <w:tcPr>
            <w:tcW w:w="240" w:type="dxa"/>
            <w:tcBorders/>
            <w:vAlign w:val="bottom"/>
          </w:tcPr>
          <w:p>
            <w:pPr>
              <w:pStyle w:val="TableContents"/>
              <w:bidi w:val="0"/>
              <w:spacing w:before="0" w:after="283"/>
              <w:jc w:val="left"/>
              <w:rPr/>
            </w:pPr>
            <w:r>
              <w:rPr/>
              <w:t>  </w:t>
            </w:r>
          </w:p>
        </w:tc>
        <w:tc>
          <w:tcPr>
            <w:tcW w:w="4371" w:type="dxa"/>
            <w:tcBorders/>
          </w:tcPr>
          <w:p>
            <w:pPr>
              <w:pStyle w:val="TableContents"/>
              <w:bidi w:val="0"/>
              <w:spacing w:before="0" w:after="0"/>
              <w:jc w:val="both"/>
              <w:rPr>
                <w:rFonts w:ascii="Times New Roman" w:hAnsi="Times New Roman"/>
                <w:sz w:val="20"/>
              </w:rPr>
            </w:pPr>
            <w:r>
              <w:rPr>
                <w:rFonts w:ascii="Times New Roman" w:hAnsi="Times New Roman"/>
                <w:sz w:val="20"/>
              </w:rPr>
              <w:t>Director</w:t>
            </w:r>
          </w:p>
        </w:tc>
      </w:tr>
      <w:tr>
        <w:trPr/>
        <w:tc>
          <w:tcPr>
            <w:tcW w:w="4928" w:type="dxa"/>
            <w:tcBorders/>
          </w:tcPr>
          <w:p>
            <w:pPr>
              <w:pStyle w:val="TableContents"/>
              <w:bidi w:val="0"/>
              <w:spacing w:before="0" w:after="0"/>
              <w:jc w:val="both"/>
              <w:rPr>
                <w:rFonts w:ascii="Times New Roman" w:hAnsi="Times New Roman"/>
                <w:sz w:val="20"/>
              </w:rPr>
            </w:pPr>
            <w:r>
              <w:rPr>
                <w:rFonts w:ascii="Times New Roman" w:hAnsi="Times New Roman"/>
                <w:sz w:val="20"/>
              </w:rPr>
              <w:t>Angie You, Ph.D.(1)(2)(3)</w:t>
            </w:r>
          </w:p>
        </w:tc>
        <w:tc>
          <w:tcPr>
            <w:tcW w:w="240" w:type="dxa"/>
            <w:tcBorders/>
            <w:vAlign w:val="bottom"/>
          </w:tcPr>
          <w:p>
            <w:pPr>
              <w:pStyle w:val="TableContents"/>
              <w:bidi w:val="0"/>
              <w:spacing w:before="0" w:after="283"/>
              <w:jc w:val="left"/>
              <w:rPr/>
            </w:pPr>
            <w:r>
              <w:rPr/>
              <w:t>  </w:t>
            </w:r>
          </w:p>
        </w:tc>
        <w:tc>
          <w:tcPr>
            <w:tcW w:w="426" w:type="dxa"/>
            <w:tcBorders/>
          </w:tcPr>
          <w:p>
            <w:pPr>
              <w:pStyle w:val="TableContents"/>
              <w:bidi w:val="0"/>
              <w:spacing w:before="0" w:after="0"/>
              <w:jc w:val="both"/>
              <w:rPr>
                <w:rFonts w:ascii="Times New Roman" w:hAnsi="Times New Roman"/>
                <w:sz w:val="20"/>
              </w:rPr>
            </w:pPr>
            <w:r>
              <w:rPr>
                <w:rFonts w:ascii="Times New Roman" w:hAnsi="Times New Roman"/>
                <w:sz w:val="20"/>
              </w:rPr>
              <w:t>53</w:t>
            </w:r>
          </w:p>
        </w:tc>
        <w:tc>
          <w:tcPr>
            <w:tcW w:w="240" w:type="dxa"/>
            <w:tcBorders/>
            <w:vAlign w:val="bottom"/>
          </w:tcPr>
          <w:p>
            <w:pPr>
              <w:pStyle w:val="TableContents"/>
              <w:bidi w:val="0"/>
              <w:spacing w:before="0" w:after="283"/>
              <w:jc w:val="left"/>
              <w:rPr/>
            </w:pPr>
            <w:r>
              <w:rPr/>
              <w:t>  </w:t>
            </w:r>
          </w:p>
        </w:tc>
        <w:tc>
          <w:tcPr>
            <w:tcW w:w="4371" w:type="dxa"/>
            <w:tcBorders/>
          </w:tcPr>
          <w:p>
            <w:pPr>
              <w:pStyle w:val="TableContents"/>
              <w:bidi w:val="0"/>
              <w:spacing w:before="0" w:after="0"/>
              <w:jc w:val="both"/>
              <w:rPr>
                <w:rFonts w:ascii="Times New Roman" w:hAnsi="Times New Roman"/>
                <w:sz w:val="20"/>
              </w:rPr>
            </w:pPr>
            <w:r>
              <w:rPr>
                <w:rFonts w:ascii="Times New Roman" w:hAnsi="Times New Roman"/>
                <w:sz w:val="20"/>
              </w:rPr>
              <w:t>Director</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Member of the Audit Committee effective upon the completion of this offering.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Member of the Compensation Committee effective upon the completion of this offering.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Member of the Nominating and Governance Committee effective upon the completion of this offering.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Ms. Luse has given notice of her intention to resign from our board of directors immediately prior to the effectiveness of the registration statement of which this prospectus forms a part.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and Employee Directors </w:t>
      </w:r>
    </w:p>
    <w:p>
      <w:pPr>
        <w:pStyle w:val="TextBody"/>
        <w:bidi w:val="0"/>
        <w:spacing w:before="120" w:after="0"/>
        <w:jc w:val="both"/>
        <w:rPr>
          <w:rFonts w:ascii="Times New Roman" w:hAnsi="Times New Roman"/>
          <w:sz w:val="20"/>
        </w:rPr>
      </w:pPr>
      <w:r>
        <w:rPr>
          <w:rFonts w:ascii="Times New Roman" w:hAnsi="Times New Roman"/>
          <w:b/>
          <w:i/>
          <w:sz w:val="20"/>
        </w:rPr>
        <w:t>Tao Fu</w:t>
      </w:r>
      <w:r>
        <w:rPr>
          <w:rFonts w:ascii="Times New Roman" w:hAnsi="Times New Roman"/>
          <w:sz w:val="20"/>
        </w:rPr>
        <w:t xml:space="preserve"> is our founder and has served as our Chief Executive Officer, President and a member of our board of directors since April 2023. He also currently serves as a Venture Partner of Frazier Life Sciences, a life sciences investment firm, since May 2022, and as a board member of Tr1X Inc., a pharmaceutical company, since January 2024. Prior to joining us, Mr. Fu served as President and Chief Operating Officer, and Chief Strategy Officer of Zai Lab Ltd. (Zai Lab), a biopharmaceutical company, from September 2018 to March 2022. From June 2015 to September 2018, Mr. Fu served as Executive Vice President, Chief Commercial and Business Officer of Portola Pharmaceuticals, Inc., a biopharmaceutical company. Mr. Fu served as Vice President and led M&amp;A, Corporate Development and Alliance Management functions at Bristol Myers Squibb Co. (BMS), a biopharmaceutical company, from January 2014 to May 2015. Prior to that, Mr. Fu worked at Johnson &amp; Johnson (J&amp;J), a biopharmaceutical company, from February 2003 to January 2014, with his last position being Vice President, Head of M&amp;A, responsible for J&amp;J’s global M&amp;A activities in pharmaceuticals. Mr. Fu also previously held positions with Scios Inc., McKinsey &amp; Company and Becton, Dickinson and Company. Mr. Fu did his undergraduate studies in Biology at Tsinghua University and has a M.S. in Biology from the University of Rochester, and an M.B.A. from Vanderbilt University. We believe Mr. Fu is qualified to serve on our board of directors because of his extensive experience in the biopharmaceutical industry and leadership experience, including his role as our founder, Chief Executive Officer and President. </w:t>
      </w:r>
    </w:p>
    <w:p>
      <w:pPr>
        <w:pStyle w:val="TextBody"/>
        <w:bidi w:val="0"/>
        <w:spacing w:before="240" w:after="0"/>
        <w:jc w:val="both"/>
        <w:rPr>
          <w:rFonts w:ascii="Times New Roman" w:hAnsi="Times New Roman"/>
          <w:sz w:val="20"/>
        </w:rPr>
      </w:pPr>
      <w:r>
        <w:rPr>
          <w:rFonts w:ascii="Times New Roman" w:hAnsi="Times New Roman"/>
          <w:b/>
          <w:i/>
          <w:sz w:val="20"/>
        </w:rPr>
        <w:t>Zaneta Odrowaz, Ph.D.</w:t>
      </w:r>
      <w:r>
        <w:rPr>
          <w:rFonts w:ascii="Times New Roman" w:hAnsi="Times New Roman"/>
          <w:sz w:val="20"/>
        </w:rPr>
        <w:t xml:space="preserve"> is one of our co-founders and has served as our Chief Business Officer since April 2023. She has also served as Vice President of Company Creation at Frazier Life Sciences since September 2022. Prior to Frazier Life Sciences, Zaneta served as Senior Director of Corporate Development at Amunix Pharmaceuticals, Inc. (acquired by Sanofi S.A.), a biotechnology company, from April 2020 to June 2022. From October 2018 to March 2020, Dr. Odrowaz was the Chief of Staff to the General Manager at Philips Neuro. Earlier in Dr. Odrowaz’s career, she served biopharma and private equity clients as a management consultant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McKinsey &amp; Company. Dr. Odrowaz has a Master’s degree in Biotechnology from the Jagiellonian University in Poland, a Ph.D. in Gene Expression from the University of Manchester, U.K., and completed a postdoctoral fellowship in Neuroepigenomics as a Walter V. and Idun Berry fellow at Stanford University. </w:t>
      </w:r>
    </w:p>
    <w:p>
      <w:pPr>
        <w:pStyle w:val="TextBody"/>
        <w:bidi w:val="0"/>
        <w:spacing w:before="240" w:after="0"/>
        <w:jc w:val="both"/>
        <w:rPr>
          <w:rFonts w:ascii="Times New Roman" w:hAnsi="Times New Roman"/>
          <w:sz w:val="20"/>
        </w:rPr>
      </w:pPr>
      <w:r>
        <w:rPr>
          <w:rFonts w:ascii="Times New Roman" w:hAnsi="Times New Roman"/>
          <w:b/>
          <w:i/>
          <w:sz w:val="20"/>
        </w:rPr>
        <w:t>Steven Chan</w:t>
      </w:r>
      <w:r>
        <w:rPr>
          <w:rFonts w:ascii="Times New Roman" w:hAnsi="Times New Roman"/>
          <w:sz w:val="20"/>
        </w:rPr>
        <w:t xml:space="preserve"> has served as our Chief Financial Officer since October 2024. Prior to joining us, Mr. Chan was the Chief Financial Officer at Connect Biopharma Holdings Limited, a biopharmaceutical company, from November 2021 to September 2024. From April 2019 to November 2021, he served as Chief Financial Officer at Delphon Industries, LLC, a semiconductor manufacturing company. Prior to that, he served as Vice President, Finance &amp; Corporate Controller at Arcus Biosciences, Inc., a biopharmaceutical company, from April 2017 to April 2019 and at MyoKardia, Inc. (acquired by BMS), a biopharmaceutical company, from November 2014 to March 2017. Mr. Chan has also held positions at companies in the biopharmaceutical, financial services, and technology sectors, including Solta Medical Inc., Moody’s Analytics, Polycom, Inc. and Logitech, Inc. Mr. Chan received his B.S. in Business Administration from the University of California, Berkeley (UC Berkeley) and is a Certified Public Accountant (inactive). </w:t>
      </w:r>
    </w:p>
    <w:p>
      <w:pPr>
        <w:pStyle w:val="TextBody"/>
        <w:bidi w:val="0"/>
        <w:spacing w:before="240" w:after="0"/>
        <w:jc w:val="both"/>
        <w:rPr>
          <w:rFonts w:ascii="Times New Roman" w:hAnsi="Times New Roman"/>
          <w:sz w:val="20"/>
        </w:rPr>
      </w:pPr>
      <w:r>
        <w:rPr>
          <w:rFonts w:ascii="Times New Roman" w:hAnsi="Times New Roman"/>
          <w:b/>
          <w:i/>
          <w:sz w:val="20"/>
        </w:rPr>
        <w:t>Petter Veiby</w:t>
      </w:r>
      <w:r>
        <w:rPr>
          <w:rFonts w:ascii="Times New Roman" w:hAnsi="Times New Roman"/>
          <w:sz w:val="20"/>
        </w:rPr>
        <w:t xml:space="preserve"> is one of our co-founders and has served as our Chief Scientific Officer since June 2023. He also currently serves as a board member of BiVictriX Therapeutics Ltd, a private biotechnology company, since August 2025. Prior to joining us, he was Senior Director at Takeda Oncology, a pharmaceutical company, from November 2022 to June 2023. From April 2022 to November 2022, he was Senior Vice President, Business Development at Immunitas Therapeutics, Inc., a biotechnology company. Prior to that, he was the Head of Alliances and BD Search and Evaluation at Zai Lab from March 2020 to May 2022. From July 1999 to March 2020, he served in various roles with increasing responsibility, including Global Head of Biotherapeutics at Takeda Oncology (originally Millennium Pharmaceuticals). He studied Hematopoietic Stem Cell Biology at the University of Oslo in Norway and completed his postdoctoral studies at the Hipple Cancer Research Center, in Dayton, Ohio, affiliated with Ohio State University. </w:t>
      </w:r>
    </w:p>
    <w:p>
      <w:pPr>
        <w:pStyle w:val="TextBody"/>
        <w:bidi w:val="0"/>
        <w:spacing w:before="240" w:after="0"/>
        <w:jc w:val="both"/>
        <w:rPr>
          <w:rFonts w:ascii="Times New Roman" w:hAnsi="Times New Roman"/>
          <w:sz w:val="20"/>
        </w:rPr>
      </w:pPr>
      <w:r>
        <w:rPr>
          <w:rFonts w:ascii="Times New Roman" w:hAnsi="Times New Roman"/>
          <w:b/>
          <w:i/>
          <w:sz w:val="20"/>
        </w:rPr>
        <w:t>Hubert Chen, M.D.</w:t>
      </w:r>
      <w:r>
        <w:rPr>
          <w:rFonts w:ascii="Times New Roman" w:hAnsi="Times New Roman"/>
          <w:sz w:val="20"/>
        </w:rPr>
        <w:t xml:space="preserve"> has served as our Chief Medical Officer since March 2024. Prior to joining us, Dr. Chen served as Senior Vice President of Clinical Development at Krystal Biotech, Inc., a biotechnology company, from October 2021 to March 2024. From August 2011 to September 2021, Dr. Chen served in various roles at Genentech, Inc., a biotechnology company, most recently as Principal Medical Director starting in March 2020 and as Senior Medical Director from March 2016 to March 2020. Dr. Chen has also previously held several positions at the University of California, San Francisco (UCSF) Medical Center. Dr. Chen has a M.P.H. from Harvard University and received his M.D. from Stanford University. He is board-certified in pulmonary medicine, critical care medicine and internal medicine and received his post-graduate training at the University of California, San Francisco.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Non-Employee Directors </w:t>
      </w:r>
    </w:p>
    <w:p>
      <w:pPr>
        <w:pStyle w:val="TextBody"/>
        <w:bidi w:val="0"/>
        <w:spacing w:before="120" w:after="0"/>
        <w:jc w:val="both"/>
        <w:rPr>
          <w:rFonts w:ascii="Times New Roman" w:hAnsi="Times New Roman"/>
          <w:sz w:val="20"/>
        </w:rPr>
      </w:pPr>
      <w:r>
        <w:rPr>
          <w:rFonts w:ascii="Times New Roman" w:hAnsi="Times New Roman"/>
          <w:b/>
          <w:i/>
          <w:sz w:val="20"/>
        </w:rPr>
        <w:t>James Topper, M.D., Ph.D.</w:t>
      </w:r>
      <w:r>
        <w:rPr>
          <w:rFonts w:ascii="Times New Roman" w:hAnsi="Times New Roman"/>
          <w:sz w:val="20"/>
        </w:rPr>
        <w:t xml:space="preserve"> has served as Chairman and a member of our board of directors since June 2023. Dr. Topper has served as a Managing Partner of Frazier Life Sciences since 2005 and has been a Partner at Frazier Life Sciences since August 2003. From 2002 to 2003, prior to joining Frazier Life Sciences, Dr. Topper served as head of the Cardiovascular Research and Development Division at Millennium. Dr. Topper currently serves as a member of the board of directors of the following publicly traded companies: Phathom Pharmaceuticals, Inc., a biopharmaceutical company, since September 2022; NewAmsterdam Pharma Company N.V., a biopharmaceutical company, since November 2022. He also served as a member of the board of directors of Alpine Immune Sciences, Inc., a biotechnology company, from June 2016 to May 2024. Dr. Topper received his M.D. and Ph.D. in Biophysics from Stanford University and a B.S. from the University of Michigan. He was board-certified in internal medicine and cardiovascular disease receiving his post-graduate training at the Brigham and Women’s Hospital in Boston. We believe that Dr. Topper is qualified to serve on our board of directors because of his medical background, experience as an investor in biotechnology companies and extensive service as a director of other biopharmaceutical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b/>
          <w:i/>
          <w:sz w:val="20"/>
        </w:rPr>
        <w:t>Mitchell Gold, M.D.</w:t>
      </w:r>
      <w:r>
        <w:rPr>
          <w:rFonts w:ascii="Times New Roman" w:hAnsi="Times New Roman"/>
          <w:sz w:val="20"/>
        </w:rPr>
        <w:t xml:space="preserve"> has served as a member of our board of directors since July 2024. Dr. Gold has been a venture partner at Frazier Life Sciences since January 2025 and has also served as a managing partner of Alpine BioVentures, GP, LLC, a healthcare investment firm, since September 2013. From January 2015 to July 2024, Dr. Gold served as Chairman, Chief Executive Officer, and founder of Alpine Immune Sciences, Inc. (acquired by Vertex Pharmaceuticals Incorporated), a biotechnology company. From August 2012 to August 2014, Dr. Gold served as chairman and founder of Alpine Biosciences, Inc. (acquired by Cascadian Therapeutics, Inc.). Previously, Dr. Gold was a board member, President and Chief Executive Officer of Dendreon Corporation (acquired by Valeant Pharmaceuticals International, Inc.), a biotechnology company, from May 2001 to February 2013. Dr. Gold has a B.S. in Biology from the University of Wisconsin and an M.D. from Rush University Medical School in Chicago and did his residency in Urology at the University of Washington. We believe that Dr. Gold is qualified to serve on our board of directors because of his extensive experience in senior executive management roles and as an investor in life sciences companies. </w:t>
      </w:r>
    </w:p>
    <w:p>
      <w:pPr>
        <w:pStyle w:val="TextBody"/>
        <w:bidi w:val="0"/>
        <w:spacing w:before="240" w:after="0"/>
        <w:jc w:val="both"/>
        <w:rPr>
          <w:rFonts w:ascii="Times New Roman" w:hAnsi="Times New Roman"/>
          <w:sz w:val="20"/>
        </w:rPr>
      </w:pPr>
      <w:r>
        <w:rPr>
          <w:rFonts w:ascii="Times New Roman" w:hAnsi="Times New Roman"/>
          <w:b/>
          <w:i/>
          <w:sz w:val="20"/>
        </w:rPr>
        <w:t>Rebecca Luse</w:t>
      </w:r>
      <w:r>
        <w:rPr>
          <w:rFonts w:ascii="Times New Roman" w:hAnsi="Times New Roman"/>
          <w:sz w:val="20"/>
        </w:rPr>
        <w:t xml:space="preserve"> has served as a member of our board of directors since March 2025. Ms. Luse has also served as Managing Director of Deep Track Capital, L.P., a life sciences investment firm, since January 2021. From October 2019 to January 2021, Ms. Luse served as Principal of New Leaf Venture Partners, a healthcare technology investment firm, and as Vice President from February 2015 to January 2021. Ms. Luse has also served as a member of the board of directors of LB Pharmaceuticals Inc, a publicly traded biopharmaceutical company, since August 2023. From August 2013 to February 2015, Ms. Luse was a research associate on the biotechnology investment team at Jefferies LLC. Prior to that, Ms. Luse was a research associate on the specialty pharmaceuticals investment team at Piper Jaffray &amp; Co. (now Piper Sandler &amp; Co.), from September 2011 to August 2013. Ms. Luse has a B.S. in Biochemistry and Mathematics from Indiana University Bloomington. We believe that Ms. Luse is qualified to serve on our board of directors because of her financial expertise, investment experience in the life sciences industry, and service as a director of other biopharmaceutical companies. Ms. Luse has given notice of her intention to resign as a member of our board of directors immediately prior to the effectiveness of the registration statement of which this prospectus forms a part. </w:t>
      </w:r>
    </w:p>
    <w:p>
      <w:pPr>
        <w:pStyle w:val="TextBody"/>
        <w:bidi w:val="0"/>
        <w:spacing w:before="240" w:after="0"/>
        <w:jc w:val="both"/>
        <w:rPr>
          <w:rFonts w:ascii="Times New Roman" w:hAnsi="Times New Roman"/>
          <w:sz w:val="20"/>
        </w:rPr>
      </w:pPr>
      <w:r>
        <w:rPr>
          <w:rFonts w:ascii="Times New Roman" w:hAnsi="Times New Roman"/>
          <w:b/>
          <w:i/>
          <w:sz w:val="20"/>
        </w:rPr>
        <w:t>Aaron Royston, M.D.</w:t>
      </w:r>
      <w:r>
        <w:rPr>
          <w:rFonts w:ascii="Times New Roman" w:hAnsi="Times New Roman"/>
          <w:sz w:val="20"/>
        </w:rPr>
        <w:t xml:space="preserve"> has served as a member of our board of directors since June 2023. Dr. Royston has been a managing partner at venBio Partners, LLC, a life sciences investment firm, since November 2015. Prior to joining venBio Partners, LLC, Dr. Royston held various positions at Vivo Capital LLC from July 2014 to October 2015, Bain &amp; Company, Inc. from July 2013 to July 2014, and Mount Sinai Medical Center from July 2007 to July 2008. Dr. Royston has served as a member of the board of directors of several publicly traded companies, including RayzeBio, Inc. (acquired by BMS), a biotechnology company, from August 2020 to November 2023, and Ventyx Biosciences, Inc., a biotechnology company, from March 2021 until January 2023. Dr. Royston has a B.S. in Biological Sciences from Duke University, and an M.D. and M.B.A. from the University of Pennsylvania. We believe that Dr. Royston is qualified to serve on our board of directors because of his clinical and biotechnology industry experience and his extensive service as a director of other biopharmaceutical companies. </w:t>
      </w:r>
    </w:p>
    <w:p>
      <w:pPr>
        <w:pStyle w:val="TextBody"/>
        <w:bidi w:val="0"/>
        <w:spacing w:before="240" w:after="0"/>
        <w:jc w:val="both"/>
        <w:rPr>
          <w:rFonts w:ascii="Times New Roman" w:hAnsi="Times New Roman"/>
          <w:sz w:val="20"/>
        </w:rPr>
      </w:pPr>
      <w:r>
        <w:rPr>
          <w:rFonts w:ascii="Times New Roman" w:hAnsi="Times New Roman"/>
          <w:b/>
          <w:i/>
          <w:sz w:val="20"/>
        </w:rPr>
        <w:t xml:space="preserve">John W. Smither </w:t>
      </w:r>
      <w:r>
        <w:rPr>
          <w:rFonts w:ascii="Times New Roman" w:hAnsi="Times New Roman"/>
          <w:sz w:val="20"/>
        </w:rPr>
        <w:t xml:space="preserve">has served as a member of our board of directors since July 2026. Mr. Smither has served as Chief Financial Officer of MBX Biosciences, Inc., a biopharmaceutical company, since March 2026, and as a senior advisor to Frazier Life Sciences since November 2024. From September 2023 to April 2024, Mr. Smither served as interim Chief Financial Officer of Arcutis Biotherapeutics, Inc., a biopharmaceutical company, where he had previously served as Chief Financial Officer from May 2019 to March 2021. Mr. Smither currently serves as a member of the board of directors of NewAmsterdam Pharma Company N.V., a biopharmaceutical company, since January 2023, where he chairs the audit committee, and of Genelux Corporation, a biopharmaceutical company, since September 2023, where he chairs the compensation committee and is a member of the audit committee. He previously served as a member of the board of directors and chair of the audit committee of eFFECTOR Therapeutics, Inc., a biopharmaceutical company, from March 2018 to September 2023, and of Applied Molecular Transport, Inc., a biopharmaceutical company, from January 2022 to December 2023. Mr. Smither has a B.S. in Business Administration from California State University, Los Angeles. We believe that Mr. Smither is qualified to serve on our board of directors because of his financial expertise and his service as a director of other biopharmaceutical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b/>
          <w:i/>
          <w:sz w:val="20"/>
        </w:rPr>
        <w:t>Colin Walsh, Ph.D.</w:t>
      </w:r>
      <w:r>
        <w:rPr>
          <w:rFonts w:ascii="Times New Roman" w:hAnsi="Times New Roman"/>
          <w:sz w:val="20"/>
        </w:rPr>
        <w:t xml:space="preserve"> has served as a member of our board of directors since May 2024. Dr. Walsh has also served as Managing Director in the Life Sciences Investing group of Goldman Sachs Group, Inc. since September 2023, and as a board member of Vicebio Limited (acquired by Sanofi S.A.), a private biotechnology company, since September 2024. From April 2019 to October 2023, Dr. Walsh served as a partner at Qiming Venture Partners USA, a healthcare investment firm. Prior to that, Dr. Walsh was a Vice President on the life science investment team at ND Capital LLC, an early-stage venture capital firm, from January 2014 to April 2019. From June 2012 to September 2015, Dr. Walsh held a number of roles at Precision NanoSystems, Inc., a biotechnology company, (acquired by Danaher Corporation). Dr. Walsh has served as a member of the board of directors of the following publicly traded companies: Elevation Oncology, Inc., a biotechnology company, from August 2019 to September 2023; and Korro Bio, Inc., a biotechnology company, from August 2020 to September 2023. Dr. Walsh has a dual B.S. in Chemical Engineering and Biochemistry from the University of Massachusetts, Amherst, a Management of Technology Certificate from the Haas School of Business at UC Berkeley, and a Ph.D. from the UC Berkeley – UCSF Graduate Program in Bioengineering. We believe that Dr. Walsh is qualified to serve on our board of directors because of his investment experience, knowledge of our industry and educational background in biochemistry and bioengineering. </w:t>
      </w:r>
    </w:p>
    <w:p>
      <w:pPr>
        <w:pStyle w:val="TextBody"/>
        <w:bidi w:val="0"/>
        <w:spacing w:before="240" w:after="0"/>
        <w:jc w:val="both"/>
        <w:rPr>
          <w:rFonts w:ascii="Times New Roman" w:hAnsi="Times New Roman"/>
          <w:sz w:val="20"/>
        </w:rPr>
      </w:pPr>
      <w:r>
        <w:rPr>
          <w:rFonts w:ascii="Times New Roman" w:hAnsi="Times New Roman"/>
          <w:b/>
          <w:i/>
          <w:sz w:val="20"/>
        </w:rPr>
        <w:t>Angie You, Ph.D.</w:t>
      </w:r>
      <w:r>
        <w:rPr>
          <w:rFonts w:ascii="Times New Roman" w:hAnsi="Times New Roman"/>
          <w:sz w:val="20"/>
        </w:rPr>
        <w:t xml:space="preserve"> has served as a member of our board of directors since July 2024. Dr. You has also served as Chief Executive Officer and board member of Architect Therapeutics, LLC, a biotechnology company, since March 2023; as a senior advisor to Frazier Life Sciences, since February 2022; and on the board of directors of Candid Therapeutics, Inc., a private biotechnology company, since October 2024. Dr. You also served as advisor to Casdin Capital, LLC, a life sciences and healthcare investment firm, from April 2022 to May 2023. Prior to that, Dr. You served as Chief Executive Officer of Amunix Pharmaceuticals, Inc. (acquired by Sanofi S.A.), an immuno-oncology company, from December 2018 to January 2022. From September 2014 to December 2018, Dr. You served as Chief Business and Strategy Officer and Head of Commercial at Sierra Oncology, Inc., a biotechnology company. Dr. You has served as a member of the board of directors of the following publicly traded companies: ORIC Pharmaceuticals, Inc., a biopharmaceutical company, since November 2021; and RayzeBio, Inc. (acquired by BMS), a biotechnology company, from April 2022 to July 2024. Dr. You has an A.B. in Chemistry from Harvard College and a Ph.D. in Biochemistry from Harvard University. We believe that Dr. You is qualified to serve on our board of directors because of her extensive drug development expertise, commercial strategy expertise in the biotechnology industry and experience serving as a public company director. </w:t>
      </w:r>
    </w:p>
    <w:p>
      <w:pPr>
        <w:pStyle w:val="TextBody"/>
        <w:bidi w:val="0"/>
        <w:spacing w:before="360" w:after="0"/>
        <w:jc w:val="left"/>
        <w:rPr>
          <w:rFonts w:ascii="Times New Roman" w:hAnsi="Times New Roman"/>
          <w:b/>
          <w:sz w:val="20"/>
        </w:rPr>
      </w:pPr>
      <w:r>
        <w:rPr>
          <w:rFonts w:ascii="Times New Roman" w:hAnsi="Times New Roman"/>
          <w:b/>
          <w:sz w:val="20"/>
        </w:rPr>
        <w:t xml:space="preserve">Election of Executive Officers </w:t>
      </w:r>
    </w:p>
    <w:p>
      <w:pPr>
        <w:pStyle w:val="TextBody"/>
        <w:bidi w:val="0"/>
        <w:spacing w:before="120" w:after="0"/>
        <w:jc w:val="both"/>
        <w:rPr>
          <w:rFonts w:ascii="Times New Roman" w:hAnsi="Times New Roman"/>
          <w:sz w:val="20"/>
        </w:rPr>
      </w:pPr>
      <w:r>
        <w:rPr>
          <w:rFonts w:ascii="Times New Roman" w:hAnsi="Times New Roman"/>
          <w:sz w:val="20"/>
        </w:rPr>
        <w:t xml:space="preserve">Our executive officers are appointed by, and serve at the discretion of, our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Family Relationships </w:t>
      </w:r>
    </w:p>
    <w:p>
      <w:pPr>
        <w:pStyle w:val="TextBody"/>
        <w:bidi w:val="0"/>
        <w:spacing w:before="120" w:after="0"/>
        <w:jc w:val="both"/>
        <w:rPr>
          <w:rFonts w:ascii="Times New Roman" w:hAnsi="Times New Roman"/>
          <w:sz w:val="20"/>
        </w:rPr>
      </w:pPr>
      <w:r>
        <w:rPr>
          <w:rFonts w:ascii="Times New Roman" w:hAnsi="Times New Roman"/>
          <w:sz w:val="20"/>
        </w:rPr>
        <w:t xml:space="preserve">There are no family relationships among any of our executive officers or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Board Composition </w:t>
      </w:r>
    </w:p>
    <w:p>
      <w:pPr>
        <w:pStyle w:val="TextBody"/>
        <w:bidi w:val="0"/>
        <w:spacing w:before="120" w:after="0"/>
        <w:jc w:val="both"/>
        <w:rPr>
          <w:rFonts w:ascii="Times New Roman" w:hAnsi="Times New Roman"/>
          <w:sz w:val="20"/>
        </w:rPr>
      </w:pPr>
      <w:r>
        <w:rPr>
          <w:rFonts w:ascii="Times New Roman" w:hAnsi="Times New Roman"/>
          <w:sz w:val="20"/>
        </w:rPr>
        <w:t xml:space="preserve">Upon the closing of this offering, our board of directors will consist of eight members, seven of which will be independent within the meaning of the independent director guidelines of Nasdaq. Pursuant to our current certificate of incorporation and our amended and restated voting agreement, Mr. Fu, Dr. Gold, Ms. Luse, Dr. Royston, Mr. Smither, Dr. Topper, Dr. Walsh and Dr. You have been designated to serve as members of our board of directors. The amended and restated voting agreement and the provisions of our current certificate of incorporation that govern the election and designation of our directors will terminate immediately prior to the completion of this offering, after which no contractual obligations will concern the election of our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Classified Board of Directors </w:t>
      </w:r>
    </w:p>
    <w:p>
      <w:pPr>
        <w:pStyle w:val="TextBody"/>
        <w:bidi w:val="0"/>
        <w:spacing w:before="120" w:after="0"/>
        <w:jc w:val="both"/>
        <w:rPr>
          <w:rFonts w:ascii="Times New Roman" w:hAnsi="Times New Roman"/>
          <w:sz w:val="20"/>
        </w:rPr>
      </w:pPr>
      <w:r>
        <w:rPr>
          <w:rFonts w:ascii="Times New Roman" w:hAnsi="Times New Roman"/>
          <w:sz w:val="20"/>
        </w:rPr>
        <w:t xml:space="preserve">In accordance with the terms of our restated certificate of incorporation and restated bylaws that will become effective upon the completion of this offering, our board of directors will be divided into three staggered classes of directors. At each annual meeting of our stockholders, a class of directors will be subject to re-election for a three-year term. As a result, only one class of directors will be elected at each annual meeting of our stockholders, with the other classes continuing for the remainder of their respective three-year terms. </w:t>
      </w:r>
    </w:p>
    <w:p>
      <w:pPr>
        <w:pStyle w:val="TextBody"/>
        <w:bidi w:val="0"/>
        <w:spacing w:before="240" w:after="0"/>
        <w:jc w:val="both"/>
        <w:rPr>
          <w:rFonts w:ascii="Times New Roman" w:hAnsi="Times New Roman"/>
          <w:sz w:val="20"/>
        </w:rPr>
      </w:pPr>
      <w:r>
        <w:rPr>
          <w:rFonts w:ascii="Times New Roman" w:hAnsi="Times New Roman"/>
          <w:sz w:val="20"/>
        </w:rPr>
        <w:t xml:space="preserve">Our directors will be divided among the three classes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Class I directors will be Dr. Royston and Dr. Walsh, and their terms will expire at the first annual meeting of our stockholders held following the completion of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Class II directors will be Mr. Smither and Dr. Topper, and their terms will expire at the second annual meeting of our stockholders held following the completion of this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Class III directors will be Mr. Fu, Dr. Gold and Dr. You, and their terms will expire at the third annual meeting of our stockholders held following the completion of this offering. </w:t>
            </w:r>
          </w:p>
        </w:tc>
      </w:tr>
    </w:tbl>
    <w:p>
      <w:pPr>
        <w:pStyle w:val="TextBody"/>
        <w:bidi w:val="0"/>
        <w:spacing w:before="240" w:after="0"/>
        <w:jc w:val="both"/>
        <w:rPr>
          <w:rFonts w:ascii="Times New Roman" w:hAnsi="Times New Roman"/>
          <w:sz w:val="20"/>
        </w:rPr>
      </w:pPr>
      <w:r>
        <w:rPr>
          <w:rFonts w:ascii="Times New Roman" w:hAnsi="Times New Roman"/>
          <w:sz w:val="20"/>
        </w:rPr>
        <w:t xml:space="preserve">Each director’s term continues until the election and qualification of his or her successor, or his or her earlier death, resignation or removal. Our restated certificate of incorporation and restated bylaws that will be in effect upon the completion of this offering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the section titled “Description of Capital Stock—Anti-Takeover Provisions—Restated Certificate of Incorporation and Restated Bylaw Provisions” for additional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Independence </w:t>
      </w:r>
    </w:p>
    <w:p>
      <w:pPr>
        <w:pStyle w:val="TextBody"/>
        <w:bidi w:val="0"/>
        <w:spacing w:before="120" w:after="0"/>
        <w:jc w:val="both"/>
        <w:rPr>
          <w:rFonts w:ascii="Times New Roman" w:hAnsi="Times New Roman"/>
          <w:sz w:val="20"/>
        </w:rPr>
      </w:pPr>
      <w:r>
        <w:rPr>
          <w:rFonts w:ascii="Times New Roman" w:hAnsi="Times New Roman"/>
          <w:sz w:val="20"/>
        </w:rPr>
        <w:t xml:space="preserve">In connection with this offering, we have applied to list our common stock on Nasdaq. Under the rules of Nasdaq, independent directors must comprise a majority of a listed company’s board of directors within a specified period following the completion of this offering. In addition, the rules of Nasdaq require that, subject to specified exceptions, each member of a listed company’s audit, compensation and nominating and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w:t>
      </w:r>
    </w:p>
    <w:p>
      <w:pPr>
        <w:pStyle w:val="TextBody"/>
        <w:bidi w:val="0"/>
        <w:spacing w:before="240" w:after="0"/>
        <w:jc w:val="both"/>
        <w:rPr>
          <w:rFonts w:ascii="Times New Roman" w:hAnsi="Times New Roman"/>
          <w:sz w:val="20"/>
        </w:rPr>
      </w:pPr>
      <w:r>
        <w:rPr>
          <w:rFonts w:ascii="Times New Roman" w:hAnsi="Times New Roman"/>
          <w:sz w:val="20"/>
        </w:rPr>
        <w:t xml:space="preserve">Audit committee members must also satisfy the independence criteria set forth in Rule 10A-3 under the Securities Exchange Act of 1934, as amended (Exchange Act).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 We intend to satisfy the audit committee independence requirements of Rule 10A-3 as of the completion of this offering. Additionally, compensation committee members must not have a relationship with us that is material to the director’s ability to be independent from management in connection with the duties of a compensation committee member.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upon the completion of this offering, all of our directors, except for Mr. Fu, are “independent directors” as defined under the current Nasdaq listing standards and SEC rules and regulations. In making these determinations, our board of directors reviewed and discussed information provided by the directors and us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regard to each director’s business and personal activities and relationships as they may relate to us and our management, including the beneficial ownership of our capital stock by each non-employee director and the transactions involving them as described in the section titled “Certain Relationships and Related Party Transactions.” </w:t>
      </w:r>
    </w:p>
    <w:p>
      <w:pPr>
        <w:pStyle w:val="TextBody"/>
        <w:bidi w:val="0"/>
        <w:spacing w:before="360" w:after="0"/>
        <w:jc w:val="left"/>
        <w:rPr>
          <w:rFonts w:ascii="Times New Roman" w:hAnsi="Times New Roman"/>
          <w:b/>
          <w:sz w:val="20"/>
        </w:rPr>
      </w:pPr>
      <w:r>
        <w:rPr>
          <w:rFonts w:ascii="Times New Roman" w:hAnsi="Times New Roman"/>
          <w:b/>
          <w:sz w:val="20"/>
        </w:rPr>
        <w:t xml:space="preserve">Leadership Structure of the Board </w:t>
      </w:r>
    </w:p>
    <w:p>
      <w:pPr>
        <w:pStyle w:val="TextBody"/>
        <w:bidi w:val="0"/>
        <w:spacing w:before="120" w:after="0"/>
        <w:jc w:val="both"/>
        <w:rPr>
          <w:rFonts w:ascii="Times New Roman" w:hAnsi="Times New Roman"/>
          <w:sz w:val="20"/>
        </w:rPr>
      </w:pPr>
      <w:r>
        <w:rPr>
          <w:rFonts w:ascii="Times New Roman" w:hAnsi="Times New Roman"/>
          <w:sz w:val="20"/>
        </w:rPr>
        <w:t xml:space="preserve">Our corporate governance guidelines that will become effective upon the completion of this offering will provide our board of directors with flexibility to combine or separate the positions of Chairman of the board of directors and Chief Executive Officer. Dr. Topper currently serves as the Chairman of our board of directors, and Mr. Fu currently serves as our Chief Executive Officer and President. This structure allows our Chief Executive Officer to focus on our day-to-day business while our Chairman leads our board of directors in its fundamental role of providing advice to, and independent oversight of, management. We believe Dr. Topper is especially qualified for this role based on his medical training and experience working with founders to build therapeutics-focused and innovation-based companies for over twenty-five years. Further, our board of directors believes such separation is appropriate, as it enhances the accountability of the Chief Executive Officer to the board of directors and strengthens the independence of the board of directors from management. Any changes to the leadership structure of our board of directors, if made, will be promptly disclosed on the investor relations section of our website and in our proxy materials. Our board of directors, in its sole discretion, may seek input from our stockholders on the leadership structure of the board of directors.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has concluded that our current leadership structure is appropriate at this time. However, our board of directors will continue to periodically review our leadership structure and may make such changes in the future as it deems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Role of Board in Risk Oversight Process </w:t>
      </w:r>
    </w:p>
    <w:p>
      <w:pPr>
        <w:pStyle w:val="TextBody"/>
        <w:bidi w:val="0"/>
        <w:spacing w:before="120" w:after="0"/>
        <w:jc w:val="both"/>
        <w:rPr>
          <w:rFonts w:ascii="Times New Roman" w:hAnsi="Times New Roman"/>
          <w:sz w:val="20"/>
        </w:rPr>
      </w:pPr>
      <w:r>
        <w:rPr>
          <w:rFonts w:ascii="Times New Roman" w:hAnsi="Times New Roman"/>
          <w:sz w:val="20"/>
        </w:rPr>
        <w:t xml:space="preserve">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While our board of directors is responsible for monitoring and assessing strategic risk exposure, our audit committee is responsible for overseeing our major financial risk exposures and the steps our management has taken to monitor and control these exposures. The audit committee also approves or disapproves any related person transactions. Our nominating and corporate governance committee monitors the effectiveness of our corporate governance policies. Our compensation committee assesses and monitors whether any of our compensation policies and programs has the potential to encourage excessive risk-taking. </w:t>
      </w:r>
    </w:p>
    <w:p>
      <w:pPr>
        <w:pStyle w:val="TextBody"/>
        <w:bidi w:val="0"/>
        <w:spacing w:before="360" w:after="0"/>
        <w:jc w:val="left"/>
        <w:rPr>
          <w:rFonts w:ascii="Times New Roman" w:hAnsi="Times New Roman"/>
          <w:b/>
          <w:sz w:val="20"/>
        </w:rPr>
      </w:pPr>
      <w:r>
        <w:rPr>
          <w:rFonts w:ascii="Times New Roman" w:hAnsi="Times New Roman"/>
          <w:b/>
          <w:sz w:val="20"/>
        </w:rPr>
        <w:t xml:space="preserve">Cybersecurity Risk Oversight </w:t>
      </w:r>
    </w:p>
    <w:p>
      <w:pPr>
        <w:pStyle w:val="TextBody"/>
        <w:bidi w:val="0"/>
        <w:spacing w:before="120" w:after="0"/>
        <w:jc w:val="both"/>
        <w:rPr>
          <w:rFonts w:ascii="Times New Roman" w:hAnsi="Times New Roman"/>
          <w:sz w:val="20"/>
        </w:rPr>
      </w:pPr>
      <w:r>
        <w:rPr>
          <w:rFonts w:ascii="Times New Roman" w:hAnsi="Times New Roman"/>
          <w:sz w:val="20"/>
        </w:rPr>
        <w:t xml:space="preserve">Securing the information of participants in our studies, medical professionals, employees, service providers, and other third parties is important to us. We have adopted physical, technological, and administrative controls on data security, and have a defined procedure for data incident detection, containment, response, and remediation. While everyone at our Company plays a part in managing these risks, oversight responsibility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shared by our board of directors, our audit committee, and management. Our information technology team provides regular cybersecurity updates in the form of written reports and presentations to our audit committee. Additionally, we leverage industry standard frameworks to drive strategic direction and maturity improvement. We also engage third-party security experts for risk assessments and program enhancements and maintain information security risk insurance coverage. </w:t>
      </w:r>
    </w:p>
    <w:p>
      <w:pPr>
        <w:pStyle w:val="TextBody"/>
        <w:bidi w:val="0"/>
        <w:spacing w:before="360" w:after="0"/>
        <w:jc w:val="left"/>
        <w:rPr>
          <w:rFonts w:ascii="Times New Roman" w:hAnsi="Times New Roman"/>
          <w:b/>
          <w:sz w:val="20"/>
        </w:rPr>
      </w:pPr>
      <w:r>
        <w:rPr>
          <w:rFonts w:ascii="Times New Roman" w:hAnsi="Times New Roman"/>
          <w:b/>
          <w:sz w:val="20"/>
        </w:rPr>
        <w:t xml:space="preserve">Committees of the Board of Directors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will have an audit committee, a compensation committee and a nominating and governance committee, each of which will have the composition and responsibilities described below as of the completion of this offering. In addition, from time to time, special committees may be established under the direction of our board of directors when necessary to address specific issues. </w:t>
      </w:r>
    </w:p>
    <w:p>
      <w:pPr>
        <w:pStyle w:val="TextBody"/>
        <w:bidi w:val="0"/>
        <w:spacing w:before="240" w:after="0"/>
        <w:jc w:val="both"/>
        <w:rPr>
          <w:rFonts w:ascii="Times New Roman" w:hAnsi="Times New Roman"/>
          <w:sz w:val="20"/>
        </w:rPr>
      </w:pPr>
      <w:r>
        <w:rPr>
          <w:rFonts w:ascii="Times New Roman" w:hAnsi="Times New Roman"/>
          <w:sz w:val="20"/>
        </w:rPr>
        <w:t xml:space="preserve">Each of the below committees has a written charter approved by our board of directors. Upon completion of this offering, copies of each charter will be posted on the investor relations page of our website. Members that serve on these committees will serve until their resignation or until otherwise determined by our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both"/>
        <w:rPr>
          <w:rFonts w:ascii="Times New Roman" w:hAnsi="Times New Roman"/>
          <w:sz w:val="20"/>
        </w:rPr>
      </w:pPr>
      <w:r>
        <w:rPr>
          <w:rFonts w:ascii="Times New Roman" w:hAnsi="Times New Roman"/>
          <w:sz w:val="20"/>
        </w:rPr>
        <w:t xml:space="preserve">Effective upon the effectiveness of the registration statement of which this prospectus is a part, our audit committee will be composed of Mr. Smither, Dr. Gold and Dr. Royston, with Mr. Smither as the Chair of our audit committee. Our board of directors has determined that the composition of our audit committee meets the requirements for independence under the current Nasdaq listing standards and SEC rules and regulations, and that each member of our audit committee is financially literate. In addition, our board of directors has determined that Mr. Smither is an “audit committee financial expert” as defined in Item 407(d)(5)(ii) of Regulation S-K promulgated under the Securities Act. </w:t>
      </w:r>
    </w:p>
    <w:p>
      <w:pPr>
        <w:pStyle w:val="TextBody"/>
        <w:bidi w:val="0"/>
        <w:spacing w:before="240" w:after="0"/>
        <w:jc w:val="both"/>
        <w:rPr>
          <w:rFonts w:ascii="Times New Roman" w:hAnsi="Times New Roman"/>
          <w:sz w:val="20"/>
        </w:rPr>
      </w:pPr>
      <w:r>
        <w:rPr>
          <w:rFonts w:ascii="Times New Roman" w:hAnsi="Times New Roman"/>
          <w:sz w:val="20"/>
        </w:rPr>
        <w:t xml:space="preserve">Our audit committee is directly responsible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selecting and hiring our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evaluating the qualifications, independence and performance of our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preparation of the audit committee report to be included in our annual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oversight of our compliance with legal and regulatory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assisting our board of directors with risk assessment and management, including cybersecurity risk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oversight of our accounting and financial reporting processes, including our financial statement audits and the integrity of our consolidated financial statements;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and approving related-person transactions.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both"/>
        <w:rPr>
          <w:rFonts w:ascii="Times New Roman" w:hAnsi="Times New Roman"/>
          <w:sz w:val="20"/>
        </w:rPr>
      </w:pPr>
      <w:r>
        <w:rPr>
          <w:rFonts w:ascii="Times New Roman" w:hAnsi="Times New Roman"/>
          <w:sz w:val="20"/>
        </w:rPr>
        <w:t xml:space="preserve">Effective upon the effectiveness of the registration statement of which this prospectus is a part, our compensation committee will be composed of Dr. Gold, Dr. Topper and Dr. You, with Dr. Gold as the Chair of our compensation committee. Our board of directors has determined that each member of our compensation committee is a non-employee director, as defined by Rule 16b-3 promulgated under the Exchange Act, and meets the requirements for independence under the current Nasdaq listing standards and SEC rules and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Our compensation committee is responsible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evaluating, recommending, approving and reviewing executive officer compensation arrangements, plans, policies and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evaluating and recommending non-employee director compensation arrangements for determination by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administering our cash-based and equity-based compensation plans;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overseeing our compliance with regulatory requirements associated with the compensation of directors, executive officers and employees.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Governance Committee </w:t>
      </w:r>
    </w:p>
    <w:p>
      <w:pPr>
        <w:pStyle w:val="TextBody"/>
        <w:bidi w:val="0"/>
        <w:spacing w:before="120" w:after="0"/>
        <w:jc w:val="both"/>
        <w:rPr>
          <w:rFonts w:ascii="Times New Roman" w:hAnsi="Times New Roman"/>
          <w:sz w:val="20"/>
        </w:rPr>
      </w:pPr>
      <w:r>
        <w:rPr>
          <w:rFonts w:ascii="Times New Roman" w:hAnsi="Times New Roman"/>
          <w:sz w:val="20"/>
        </w:rPr>
        <w:t xml:space="preserve">Effective upon the effectiveness of the registration statement of which this prospectus is a part, our nominating and governance committee will be composed of Dr. You and Mr. Smither, with Dr. You as the Chair of our nominating and governance committee. Our board of directors has determined that each member of our nominating and governance committee meets the requirements for independence under the current Nasdaq listing standards. </w:t>
      </w:r>
    </w:p>
    <w:p>
      <w:pPr>
        <w:pStyle w:val="TextBody"/>
        <w:bidi w:val="0"/>
        <w:spacing w:before="240" w:after="0"/>
        <w:jc w:val="both"/>
        <w:rPr>
          <w:rFonts w:ascii="Times New Roman" w:hAnsi="Times New Roman"/>
          <w:sz w:val="20"/>
        </w:rPr>
      </w:pPr>
      <w:r>
        <w:rPr>
          <w:rFonts w:ascii="Times New Roman" w:hAnsi="Times New Roman"/>
          <w:sz w:val="20"/>
        </w:rPr>
        <w:t xml:space="preserve">Our nominating and governance committee is responsible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identifying, considering and recommending candidates for membership on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overseeing the process of evaluating the performance of our board of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advising our board of directors on environmental, social and other corporate governance matters.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both"/>
        <w:rPr>
          <w:rFonts w:ascii="Times New Roman" w:hAnsi="Times New Roman"/>
          <w:sz w:val="20"/>
        </w:rPr>
      </w:pPr>
      <w:r>
        <w:rPr>
          <w:rFonts w:ascii="Times New Roman" w:hAnsi="Times New Roman"/>
          <w:sz w:val="20"/>
        </w:rPr>
        <w:t xml:space="preserve">None of the members of our compensation committee has been an officer or employee of our Company. None of our executive officers currently serves, or in the past year has served, as a member of the board of directors or compensation committee (or other board committee performing equivalent functions or, in the absence of any such committee, the entire board of directors) of any entity that has one or more of its executive officers serving on our board of directors or compensation committee. </w:t>
      </w:r>
    </w:p>
    <w:p>
      <w:pPr>
        <w:pStyle w:val="TextBody"/>
        <w:bidi w:val="0"/>
        <w:spacing w:before="240" w:after="0"/>
        <w:jc w:val="both"/>
        <w:rPr>
          <w:rFonts w:ascii="Times New Roman" w:hAnsi="Times New Roman"/>
          <w:sz w:val="20"/>
        </w:rPr>
      </w:pPr>
      <w:r>
        <w:rPr>
          <w:rFonts w:ascii="Times New Roman" w:hAnsi="Times New Roman"/>
          <w:sz w:val="20"/>
        </w:rPr>
        <w:t xml:space="preserve">Prior to establishing the compensation committee, our full board of directors made decisions relating to the compensation of our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Code of Business Conduct and Ethics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has adopted a code of business conduct and ethics that applies to all of our employees, officers and directors, including our Chief Executive Officer and President and other executive and senior officers. The full text of our code of business conduct and ethics will be posted on the investor relations page of our website. The reference to our website address in this prospectus does not include or incorporate by reference the information on our website into this prospectus. We intend to disclose future amendments to certain provisions of our code of business conduct and ethics, or waivers of these provisions, on our website or in public filings to the extent required by the applicable rules. </w:t>
      </w:r>
    </w:p>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 Compensation </w:t>
      </w:r>
    </w:p>
    <w:p>
      <w:pPr>
        <w:pStyle w:val="TextBody"/>
        <w:bidi w:val="0"/>
        <w:spacing w:before="120" w:after="0"/>
        <w:jc w:val="both"/>
        <w:rPr>
          <w:rFonts w:ascii="Times New Roman" w:hAnsi="Times New Roman"/>
          <w:sz w:val="20"/>
        </w:rPr>
      </w:pPr>
      <w:r>
        <w:rPr>
          <w:rFonts w:ascii="Times New Roman" w:hAnsi="Times New Roman"/>
          <w:sz w:val="20"/>
        </w:rPr>
        <w:t xml:space="preserve">Our Chief Executive Officer and President, Mr. Fu, has not received any compensation or reimbursement of any expenses for his services as a director for the year ended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 following table sets forth information concerning the compensation paid to our non-employee directors for the year ended December 31, 2025: </w:t>
      </w:r>
    </w:p>
    <w:p>
      <w:pPr>
        <w:pStyle w:val="TextBody"/>
        <w:bidi w:val="0"/>
        <w:spacing w:before="0" w:after="0"/>
        <w:jc w:val="left"/>
        <w:rPr/>
      </w:pPr>
      <w:r>
        <w:rPr/>
        <w:t> </w:t>
      </w:r>
    </w:p>
    <w:tbl>
      <w:tblPr>
        <w:tblW w:w="3750" w:type="pct"/>
        <w:jc w:val="center"/>
        <w:tblInd w:w="0" w:type="dxa"/>
        <w:tblLayout w:type="fixed"/>
        <w:tblCellMar>
          <w:top w:w="0" w:type="dxa"/>
          <w:left w:w="0" w:type="dxa"/>
          <w:bottom w:w="0" w:type="dxa"/>
          <w:right w:w="0" w:type="dxa"/>
        </w:tblCellMar>
      </w:tblPr>
      <w:tblGrid>
        <w:gridCol w:w="3777"/>
        <w:gridCol w:w="284"/>
        <w:gridCol w:w="70"/>
        <w:gridCol w:w="908"/>
        <w:gridCol w:w="60"/>
        <w:gridCol w:w="284"/>
        <w:gridCol w:w="73"/>
        <w:gridCol w:w="926"/>
        <w:gridCol w:w="60"/>
        <w:gridCol w:w="284"/>
        <w:gridCol w:w="59"/>
        <w:gridCol w:w="804"/>
        <w:gridCol w:w="64"/>
      </w:tblGrid>
      <w:tr>
        <w:trPr/>
        <w:tc>
          <w:tcPr>
            <w:tcW w:w="3777"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77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84" w:type="dxa"/>
            <w:tcBorders/>
            <w:vAlign w:val="bottom"/>
          </w:tcPr>
          <w:p>
            <w:pPr>
              <w:pStyle w:val="TableContents"/>
              <w:bidi w:val="0"/>
              <w:spacing w:before="0" w:after="283"/>
              <w:jc w:val="left"/>
              <w:rPr/>
            </w:pPr>
            <w:r>
              <w:rPr/>
              <w:t>  </w:t>
            </w:r>
          </w:p>
        </w:tc>
        <w:tc>
          <w:tcPr>
            <w:tcW w:w="978" w:type="dxa"/>
            <w:gridSpan w:val="2"/>
            <w:tcBorders>
              <w:bottom w:val="single" w:sz="8" w:space="0" w:color="000000"/>
            </w:tcBorders>
            <w:tcMar>
              <w:bottom w:w="28" w:type="dxa"/>
            </w:tcMar>
            <w:vAlign w:val="bottom"/>
          </w:tcPr>
          <w:p>
            <w:pPr>
              <w:pStyle w:val="TableContents"/>
              <w:bidi w:val="0"/>
              <w:spacing w:before="0" w:after="283"/>
              <w:jc w:val="center"/>
              <w:rPr/>
            </w:pPr>
            <w:r>
              <w:rPr>
                <w:b/>
              </w:rPr>
              <w:t>Fees</w:t>
              <w:br/>
              <w:t>Earned</w:t>
              <w:br/>
              <w:t>or Paid</w:t>
              <w:br/>
              <w:t>in Cash(1)</w:t>
            </w:r>
            <w:r>
              <w:rPr/>
              <w:br/>
            </w:r>
            <w:r>
              <w:rPr>
                <w:b/>
              </w:rPr>
              <w:t>($)</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999" w:type="dxa"/>
            <w:gridSpan w:val="2"/>
            <w:tcBorders>
              <w:bottom w:val="single" w:sz="8" w:space="0" w:color="000000"/>
            </w:tcBorders>
            <w:tcMar>
              <w:bottom w:w="28" w:type="dxa"/>
            </w:tcMar>
            <w:vAlign w:val="bottom"/>
          </w:tcPr>
          <w:p>
            <w:pPr>
              <w:pStyle w:val="TableContents"/>
              <w:bidi w:val="0"/>
              <w:spacing w:before="0" w:after="283"/>
              <w:jc w:val="center"/>
              <w:rPr/>
            </w:pPr>
            <w:r>
              <w:rPr>
                <w:b/>
              </w:rPr>
              <w:t>Option</w:t>
              <w:br/>
              <w:t>Awards(</w:t>
            </w:r>
            <w:r>
              <w:rPr>
                <w:b/>
                <w:sz w:val="10"/>
              </w:rPr>
              <w:t>2)(3)</w:t>
            </w:r>
            <w:r>
              <w:rPr/>
              <w:br/>
            </w:r>
            <w:r>
              <w:rPr>
                <w:b/>
              </w:rPr>
              <w:t>($)</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w:t>
            </w:r>
          </w:p>
        </w:tc>
        <w:tc>
          <w:tcPr>
            <w:tcW w:w="64" w:type="dxa"/>
            <w:tcBorders/>
            <w:vAlign w:val="bottom"/>
          </w:tcPr>
          <w:p>
            <w:pPr>
              <w:pStyle w:val="TableContents"/>
              <w:bidi w:val="0"/>
              <w:spacing w:before="0" w:after="283"/>
              <w:jc w:val="left"/>
              <w:rPr/>
            </w:pPr>
            <w:r>
              <w:rPr/>
              <w:t> </w:t>
            </w:r>
          </w:p>
        </w:tc>
      </w:tr>
      <w:tr>
        <w:trPr/>
        <w:tc>
          <w:tcPr>
            <w:tcW w:w="37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Mitchell Gold</w:t>
            </w:r>
          </w:p>
        </w:tc>
        <w:tc>
          <w:tcPr>
            <w:tcW w:w="284"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283"/>
              <w:jc w:val="right"/>
              <w:rPr/>
            </w:pPr>
            <w:r>
              <w:rPr/>
              <w:t>50,000</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65,035</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115,035</w:t>
            </w:r>
          </w:p>
        </w:tc>
        <w:tc>
          <w:tcPr>
            <w:tcW w:w="64" w:type="dxa"/>
            <w:tcBorders/>
            <w:shd w:fill="CCEEFF" w:val="clear"/>
            <w:vAlign w:val="bottom"/>
          </w:tcPr>
          <w:p>
            <w:pPr>
              <w:pStyle w:val="TableContents"/>
              <w:bidi w:val="0"/>
              <w:spacing w:before="0" w:after="283"/>
              <w:jc w:val="left"/>
              <w:rPr/>
            </w:pPr>
            <w:r>
              <w:rPr/>
              <w:t> </w:t>
            </w:r>
          </w:p>
        </w:tc>
      </w:tr>
      <w:tr>
        <w:trPr/>
        <w:tc>
          <w:tcPr>
            <w:tcW w:w="3777" w:type="dxa"/>
            <w:tcBorders/>
          </w:tcPr>
          <w:p>
            <w:pPr>
              <w:pStyle w:val="TableContents"/>
              <w:bidi w:val="0"/>
              <w:spacing w:before="0" w:after="0"/>
              <w:jc w:val="left"/>
              <w:rPr>
                <w:rFonts w:ascii="Times New Roman" w:hAnsi="Times New Roman"/>
                <w:sz w:val="20"/>
              </w:rPr>
            </w:pPr>
            <w:r>
              <w:rPr>
                <w:rFonts w:ascii="Times New Roman" w:hAnsi="Times New Roman"/>
                <w:sz w:val="20"/>
              </w:rPr>
              <w:t>Rebecca Luse(4)</w:t>
            </w:r>
          </w:p>
        </w:tc>
        <w:tc>
          <w:tcPr>
            <w:tcW w:w="28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7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Aaron Royston</w:t>
            </w:r>
          </w:p>
        </w:tc>
        <w:tc>
          <w:tcPr>
            <w:tcW w:w="284"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777" w:type="dxa"/>
            <w:tcBorders/>
          </w:tcPr>
          <w:p>
            <w:pPr>
              <w:pStyle w:val="TableContents"/>
              <w:bidi w:val="0"/>
              <w:spacing w:before="0" w:after="0"/>
              <w:jc w:val="left"/>
              <w:rPr>
                <w:rFonts w:ascii="Times New Roman" w:hAnsi="Times New Roman"/>
                <w:sz w:val="20"/>
              </w:rPr>
            </w:pPr>
            <w:r>
              <w:rPr>
                <w:rFonts w:ascii="Times New Roman" w:hAnsi="Times New Roman"/>
                <w:sz w:val="20"/>
              </w:rPr>
              <w:t>John W. Smither(5)</w:t>
            </w:r>
          </w:p>
        </w:tc>
        <w:tc>
          <w:tcPr>
            <w:tcW w:w="28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7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James Topper</w:t>
            </w:r>
          </w:p>
        </w:tc>
        <w:tc>
          <w:tcPr>
            <w:tcW w:w="284"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777" w:type="dxa"/>
            <w:tcBorders/>
          </w:tcPr>
          <w:p>
            <w:pPr>
              <w:pStyle w:val="TableContents"/>
              <w:bidi w:val="0"/>
              <w:spacing w:before="0" w:after="0"/>
              <w:jc w:val="left"/>
              <w:rPr>
                <w:rFonts w:ascii="Times New Roman" w:hAnsi="Times New Roman"/>
                <w:sz w:val="20"/>
              </w:rPr>
            </w:pPr>
            <w:r>
              <w:rPr>
                <w:rFonts w:ascii="Times New Roman" w:hAnsi="Times New Roman"/>
                <w:sz w:val="20"/>
              </w:rPr>
              <w:t>Colin Walsh</w:t>
            </w:r>
          </w:p>
        </w:tc>
        <w:tc>
          <w:tcPr>
            <w:tcW w:w="28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7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Angie You</w:t>
            </w:r>
          </w:p>
        </w:tc>
        <w:tc>
          <w:tcPr>
            <w:tcW w:w="284"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283"/>
              <w:jc w:val="right"/>
              <w:rPr/>
            </w:pPr>
            <w:r>
              <w:rPr/>
              <w:t>50,000</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65,035</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115,035</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Dr. Gold and Dr. You received a cash fee of $50,000 annually for their service on our board of directors for the year ended December 31, 2025.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Represents the grant date fair value of options awarded during the year ended December 31, 2025 as computed in accordance with ASC Topic 718. The assumptions used in calculating the grant date fair value of the stock options reported in the Option award column are set forth in Note 10 to our consolidated financial statements included elsewhere in this prospectus. Note that the amounts reported in this column reflect the aggregate accounting cost for these awards, and do not necessarily correspond to the actual economic value that may be received by each director from the options.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As of December 31, 2025, Dr. Gold held an aggregate of 72,766 options to purchase common stock and Dr. You held an aggregate of 19,913 options to purchase common stock. None of our other non-employee directors held any outstanding equity awards as of December 31, 2025.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Ms. Luse joined our board of directors on March 31, 2025.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Mr. Smither joined our board of directors on July 2, 2026.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 Compensation Policy </w:t>
      </w:r>
    </w:p>
    <w:p>
      <w:pPr>
        <w:pStyle w:val="TextBody"/>
        <w:bidi w:val="0"/>
        <w:spacing w:before="120" w:after="0"/>
        <w:jc w:val="both"/>
        <w:rPr>
          <w:rFonts w:ascii="Times New Roman" w:hAnsi="Times New Roman"/>
          <w:sz w:val="20"/>
        </w:rPr>
      </w:pPr>
      <w:r>
        <w:rPr>
          <w:rFonts w:ascii="Times New Roman" w:hAnsi="Times New Roman"/>
          <w:sz w:val="20"/>
        </w:rPr>
        <w:t xml:space="preserve">Prior to this offering, we did not have a formal policy to provide any cash or equity compensation to our non-employee directors for their service as directors. </w:t>
      </w:r>
    </w:p>
    <w:p>
      <w:pPr>
        <w:pStyle w:val="TextBody"/>
        <w:bidi w:val="0"/>
        <w:spacing w:before="240" w:after="0"/>
        <w:jc w:val="both"/>
        <w:rPr>
          <w:rFonts w:ascii="Times New Roman" w:hAnsi="Times New Roman"/>
          <w:sz w:val="20"/>
        </w:rPr>
      </w:pPr>
      <w:r>
        <w:rPr>
          <w:rFonts w:ascii="Times New Roman" w:hAnsi="Times New Roman"/>
          <w:sz w:val="20"/>
        </w:rPr>
        <w:t xml:space="preserve">In July 2026, our board of directors approved a non-employee director compensation policy, which will take effect upon the completion of this offering. Beginning after this offering, pursuant to our non-employee director compensation policy, our non-employee directors will receive annual cash compensation of $40,000 for service on our board of directors and additional compensation for the chairperson and committee members as set forth below. All cash payments will be made quarterly in arrears, and pro-rated for any partial quarters of service, including for the initial quarter in which the non-employee director compensation policy is adopted.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Non-Executive Chair: $30,000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Audit Committee Chair: $20,000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Audit Committee Member (Non-Chair): $10,000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Compensation Committee Chair: $15,000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Compensation Committee Member (Non-Chair): $7,500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Nominating and Governance Committee Chair: $10,000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Nominating and Governance Committee Member (Non-Chair): $5,000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each non-employee director who is elected or appointed to our board of directors after completion of this offering will be granted a stock option under our 2026 Plan to purchase 35,000 shares of our common stock upon the director’s initial appointment to our board of directors (or, if such date is not a trading day, the first trading day thereafter), referred to as the Initial Award. The Initial Award will vest in equal monthly installments over three years following the date of grant, such that the Initial Award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become fully vested and exercisable on the three-year anniversary of the date of grant, subject to the director’s continued service through each applicable vesting date. </w:t>
      </w:r>
    </w:p>
    <w:p>
      <w:pPr>
        <w:pStyle w:val="TextBody"/>
        <w:bidi w:val="0"/>
        <w:spacing w:before="240" w:after="0"/>
        <w:jc w:val="both"/>
        <w:rPr>
          <w:rFonts w:ascii="Times New Roman" w:hAnsi="Times New Roman"/>
          <w:sz w:val="20"/>
        </w:rPr>
      </w:pPr>
      <w:r>
        <w:rPr>
          <w:rFonts w:ascii="Times New Roman" w:hAnsi="Times New Roman"/>
          <w:sz w:val="20"/>
        </w:rPr>
        <w:t xml:space="preserve">Each non-employee director who is serving on our board of directors immediately prior to, and will continue to serve on our board of directors following, our annual meeting of stockholders, will be granted an option under our 2026 Plan to purchase 17,500 shares of our common stock (provided that the number of shares shall be pro-rated for any non-employee director who joins our board of directors between annual meeting dates) on the date of such annual meeting of stockholders (or, if such date is not a trading day, the first trading day thereafter), referred to as the Annual Award. Each Annual Award will vest on the earlier of (i) the anniversary of the date of grant and (ii) the next annual meeting of our stockholders, in each case, subject to the director’s continued service through the vesting date. </w:t>
      </w:r>
    </w:p>
    <w:p>
      <w:pPr>
        <w:pStyle w:val="TextBody"/>
        <w:bidi w:val="0"/>
        <w:spacing w:before="240" w:after="0"/>
        <w:jc w:val="both"/>
        <w:rPr>
          <w:rFonts w:ascii="Times New Roman" w:hAnsi="Times New Roman"/>
          <w:sz w:val="20"/>
        </w:rPr>
      </w:pPr>
      <w:r>
        <w:rPr>
          <w:rFonts w:ascii="Times New Roman" w:hAnsi="Times New Roman"/>
          <w:sz w:val="20"/>
        </w:rPr>
        <w:t xml:space="preserve">Options granted to our non-employee directors shall accelerate in full upon the consummation of a Corporate Transaction (as defined in our 2026 Plan) if they are then in service to us, pursuant to the terms of our 2026 Plan. </w:t>
      </w:r>
    </w:p>
    <w:p>
      <w:pPr>
        <w:pStyle w:val="TextBody"/>
        <w:bidi w:val="0"/>
        <w:spacing w:before="240" w:after="0"/>
        <w:jc w:val="both"/>
        <w:rPr>
          <w:rFonts w:ascii="Times New Roman" w:hAnsi="Times New Roman"/>
          <w:sz w:val="20"/>
        </w:rPr>
      </w:pPr>
      <w:r>
        <w:rPr>
          <w:rFonts w:ascii="Times New Roman" w:hAnsi="Times New Roman"/>
          <w:sz w:val="20"/>
        </w:rPr>
        <w:t xml:space="preserve">We also will continue to reimburse our non-employee directors for reasonable, customary, and documented travel expenses to meetings of our board of directors or its committees. </w:t>
      </w:r>
    </w:p>
    <w:p>
      <w:pPr>
        <w:pStyle w:val="TextBody"/>
        <w:bidi w:val="0"/>
        <w:spacing w:before="240" w:after="0"/>
        <w:jc w:val="both"/>
        <w:rPr>
          <w:rFonts w:ascii="Times New Roman" w:hAnsi="Times New Roman"/>
          <w:sz w:val="20"/>
        </w:rPr>
      </w:pPr>
      <w:r>
        <w:rPr>
          <w:rFonts w:ascii="Times New Roman" w:hAnsi="Times New Roman"/>
          <w:sz w:val="20"/>
        </w:rPr>
        <w:t xml:space="preserve">In addition, our 2026 Plan includes a maximum annual limit for services rendered after this offering of $750,000 of cash compensation and equity awards that may be paid, issued, or granted to a non-employee director in any calendar year (increased to $1,000,000 for a non-employee director’s initial year of service). Any cash compensation paid or equity awards granted to a person for his or her services as an employee, or for his or her services as a consultant (other than as a non-employee director), will not count for purposes of the limitation.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4" w:name="tx40469_12"/>
      <w:bookmarkEnd w:id="14"/>
      <w:r>
        <w:rPr>
          <w:rFonts w:ascii="Times New Roman" w:hAnsi="Times New Roman"/>
          <w:b/>
          <w:sz w:val="20"/>
        </w:rPr>
        <w:t xml:space="preserve">EXECUTIVE COMPENSATION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tables and accompanying narrative disclosure set forth information about the compensation earned by our named executive officers during the year ended December 31, 2025. Our named executive officers, who are our principal executive officer and the two most highly compensated executive officers (other than our principal executive officer) serving as executive officers as of December 31, 2025, were: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Tao Fu, Chief Executive Officer and President;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Petter Veiby, Chief Scientific Officer;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Hubert Chen, Chief Medical Officer.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presents summary information regarding the compensation earned by our named executive officers for the year ended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13"/>
        <w:gridCol w:w="125"/>
        <w:gridCol w:w="64"/>
        <w:gridCol w:w="545"/>
        <w:gridCol w:w="60"/>
        <w:gridCol w:w="125"/>
        <w:gridCol w:w="60"/>
        <w:gridCol w:w="805"/>
        <w:gridCol w:w="60"/>
        <w:gridCol w:w="124"/>
        <w:gridCol w:w="109"/>
        <w:gridCol w:w="1471"/>
        <w:gridCol w:w="60"/>
        <w:gridCol w:w="125"/>
        <w:gridCol w:w="60"/>
        <w:gridCol w:w="986"/>
        <w:gridCol w:w="60"/>
        <w:gridCol w:w="125"/>
        <w:gridCol w:w="103"/>
        <w:gridCol w:w="1396"/>
        <w:gridCol w:w="349"/>
        <w:gridCol w:w="65"/>
        <w:gridCol w:w="60"/>
        <w:gridCol w:w="986"/>
        <w:gridCol w:w="69"/>
      </w:tblGrid>
      <w:tr>
        <w:trPr/>
        <w:tc>
          <w:tcPr>
            <w:tcW w:w="2213"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21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125" w:type="dxa"/>
            <w:tcBorders/>
            <w:vAlign w:val="bottom"/>
          </w:tcPr>
          <w:p>
            <w:pPr>
              <w:pStyle w:val="TableContents"/>
              <w:bidi w:val="0"/>
              <w:spacing w:before="0" w:after="283"/>
              <w:jc w:val="left"/>
              <w:rPr/>
            </w:pPr>
            <w:r>
              <w:rPr/>
              <w:t>  </w:t>
            </w:r>
          </w:p>
        </w:tc>
        <w:tc>
          <w:tcPr>
            <w:tcW w:w="6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w:t>
              <w:br/>
              <w:t>Year</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65" w:type="dxa"/>
            <w:gridSpan w:val="2"/>
            <w:tcBorders>
              <w:bottom w:val="single" w:sz="8" w:space="0" w:color="000000"/>
            </w:tcBorders>
            <w:tcMar>
              <w:bottom w:w="28" w:type="dxa"/>
            </w:tcMar>
            <w:vAlign w:val="bottom"/>
          </w:tcPr>
          <w:p>
            <w:pPr>
              <w:pStyle w:val="TableContents"/>
              <w:bidi w:val="0"/>
              <w:spacing w:before="0" w:after="283"/>
              <w:jc w:val="center"/>
              <w:rPr/>
            </w:pPr>
            <w:r>
              <w:rPr>
                <w:b/>
              </w:rPr>
              <w:t xml:space="preserve">Salary </w:t>
            </w:r>
            <w:r>
              <w:rPr/>
              <w:br/>
            </w:r>
            <w:r>
              <w:rPr>
                <w:b/>
              </w:rPr>
              <w:t>($)</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Non-Equity</w:t>
              <w:br/>
              <w:t>Incentive Plan</w:t>
              <w:br/>
              <w:t>Compensation(1)</w:t>
              <w:b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Awards(2)</w:t>
              <w:b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99" w:type="dxa"/>
            <w:gridSpan w:val="2"/>
            <w:tcBorders>
              <w:bottom w:val="single" w:sz="8" w:space="0" w:color="000000"/>
            </w:tcBorders>
            <w:tcMar>
              <w:bottom w:w="28" w:type="dxa"/>
            </w:tcMar>
            <w:vAlign w:val="bottom"/>
          </w:tcPr>
          <w:p>
            <w:pPr>
              <w:pStyle w:val="TableContents"/>
              <w:bidi w:val="0"/>
              <w:spacing w:before="0" w:after="283"/>
              <w:jc w:val="center"/>
              <w:rPr/>
            </w:pPr>
            <w:r>
              <w:rPr>
                <w:b/>
              </w:rPr>
              <w:t>All Other</w:t>
              <w:br/>
              <w:t>Compensation</w:t>
            </w:r>
            <w:r>
              <w:rPr/>
              <w:br/>
            </w:r>
            <w:r>
              <w:rPr>
                <w:b/>
              </w:rPr>
              <w:t>($)</w:t>
            </w:r>
          </w:p>
        </w:tc>
        <w:tc>
          <w:tcPr>
            <w:tcW w:w="34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46"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w:t>
            </w:r>
          </w:p>
        </w:tc>
        <w:tc>
          <w:tcPr>
            <w:tcW w:w="69" w:type="dxa"/>
            <w:tcBorders/>
            <w:vAlign w:val="bottom"/>
          </w:tcPr>
          <w:p>
            <w:pPr>
              <w:pStyle w:val="TableContents"/>
              <w:bidi w:val="0"/>
              <w:spacing w:before="0" w:after="283"/>
              <w:jc w:val="left"/>
              <w:rPr/>
            </w:pPr>
            <w:r>
              <w:rPr/>
              <w:t> </w:t>
            </w:r>
          </w:p>
        </w:tc>
      </w:tr>
      <w:tr>
        <w:trPr/>
        <w:tc>
          <w:tcPr>
            <w:tcW w:w="22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Tao Fu</w:t>
            </w:r>
          </w:p>
          <w:p>
            <w:pPr>
              <w:pStyle w:val="TableContents"/>
              <w:bidi w:val="0"/>
              <w:spacing w:before="0" w:after="20"/>
              <w:jc w:val="left"/>
              <w:rPr>
                <w:rFonts w:ascii="Times New Roman" w:hAnsi="Times New Roman"/>
                <w:i/>
                <w:sz w:val="20"/>
              </w:rPr>
            </w:pPr>
            <w:r>
              <w:rPr>
                <w:rFonts w:ascii="Times New Roman" w:hAnsi="Times New Roman"/>
                <w:i/>
                <w:sz w:val="20"/>
              </w:rPr>
              <w:t>Chief Executive Officer and President</w:t>
            </w:r>
          </w:p>
        </w:tc>
        <w:tc>
          <w:tcPr>
            <w:tcW w:w="12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547,456</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pPr>
            <w:r>
              <w:rPr/>
              <w:t>287,415</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1,213,450</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right"/>
              <w:rPr/>
            </w:pPr>
            <w:r>
              <w:rPr/>
              <w:t>6,000</w:t>
            </w:r>
          </w:p>
        </w:tc>
        <w:tc>
          <w:tcPr>
            <w:tcW w:w="349" w:type="dxa"/>
            <w:tcBorders/>
            <w:shd w:fill="CCEEFF" w:val="clear"/>
            <w:vAlign w:val="bottom"/>
          </w:tcPr>
          <w:p>
            <w:pPr>
              <w:pStyle w:val="TableContents"/>
              <w:bidi w:val="0"/>
              <w:spacing w:before="0" w:after="283"/>
              <w:jc w:val="left"/>
              <w:rPr/>
            </w:pPr>
            <w:r>
              <w:rPr/>
              <w:t>(3)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2,054,321</w:t>
            </w:r>
          </w:p>
        </w:tc>
        <w:tc>
          <w:tcPr>
            <w:tcW w:w="69" w:type="dxa"/>
            <w:tcBorders/>
            <w:shd w:fill="CCEEFF" w:val="clear"/>
            <w:vAlign w:val="bottom"/>
          </w:tcPr>
          <w:p>
            <w:pPr>
              <w:pStyle w:val="TableContents"/>
              <w:bidi w:val="0"/>
              <w:spacing w:before="0" w:after="283"/>
              <w:jc w:val="left"/>
              <w:rPr/>
            </w:pPr>
            <w:r>
              <w:rPr/>
              <w:t> </w:t>
            </w:r>
          </w:p>
        </w:tc>
      </w:tr>
      <w:tr>
        <w:trPr/>
        <w:tc>
          <w:tcPr>
            <w:tcW w:w="2213" w:type="dxa"/>
            <w:tcBorders/>
          </w:tcPr>
          <w:p>
            <w:pPr>
              <w:pStyle w:val="TableContents"/>
              <w:bidi w:val="0"/>
              <w:spacing w:before="0" w:after="0"/>
              <w:jc w:val="left"/>
              <w:rPr>
                <w:rFonts w:ascii="Times New Roman" w:hAnsi="Times New Roman"/>
                <w:sz w:val="20"/>
              </w:rPr>
            </w:pPr>
            <w:r>
              <w:rPr>
                <w:rFonts w:ascii="Times New Roman" w:hAnsi="Times New Roman"/>
                <w:sz w:val="20"/>
              </w:rPr>
              <w:t>Petter Veiby</w:t>
            </w:r>
          </w:p>
          <w:p>
            <w:pPr>
              <w:pStyle w:val="TableContents"/>
              <w:bidi w:val="0"/>
              <w:spacing w:before="0" w:after="20"/>
              <w:jc w:val="left"/>
              <w:rPr>
                <w:rFonts w:ascii="Times New Roman" w:hAnsi="Times New Roman"/>
                <w:sz w:val="20"/>
              </w:rPr>
            </w:pPr>
            <w:r>
              <w:rPr>
                <w:rFonts w:ascii="Times New Roman" w:hAnsi="Times New Roman"/>
                <w:i/>
                <w:sz w:val="20"/>
              </w:rPr>
              <w:t>Chief Scientific</w:t>
            </w:r>
            <w:r>
              <w:rPr>
                <w:rFonts w:ascii="Times New Roman" w:hAnsi="Times New Roman"/>
                <w:sz w:val="20"/>
              </w:rPr>
              <w:t xml:space="preserve"> </w:t>
            </w:r>
            <w:r>
              <w:rPr>
                <w:rFonts w:ascii="Times New Roman" w:hAnsi="Times New Roman"/>
                <w:i/>
                <w:sz w:val="20"/>
              </w:rPr>
              <w:t>Officer</w:t>
            </w:r>
          </w:p>
        </w:tc>
        <w:tc>
          <w:tcPr>
            <w:tcW w:w="12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2025</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389,304</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right"/>
              <w:rPr/>
            </w:pPr>
            <w:r>
              <w:rPr/>
              <w:t>143,069</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292,780</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right"/>
              <w:rPr/>
            </w:pPr>
            <w:r>
              <w:rPr/>
              <w:t>107,200</w:t>
            </w:r>
          </w:p>
        </w:tc>
        <w:tc>
          <w:tcPr>
            <w:tcW w:w="349" w:type="dxa"/>
            <w:tcBorders/>
            <w:vAlign w:val="bottom"/>
          </w:tcPr>
          <w:p>
            <w:pPr>
              <w:pStyle w:val="TableContents"/>
              <w:bidi w:val="0"/>
              <w:spacing w:before="0" w:after="283"/>
              <w:jc w:val="left"/>
              <w:rPr/>
            </w:pPr>
            <w:r>
              <w:rPr/>
              <w:t>(4)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932,353</w:t>
            </w:r>
          </w:p>
        </w:tc>
        <w:tc>
          <w:tcPr>
            <w:tcW w:w="69" w:type="dxa"/>
            <w:tcBorders/>
            <w:vAlign w:val="bottom"/>
          </w:tcPr>
          <w:p>
            <w:pPr>
              <w:pStyle w:val="TableContents"/>
              <w:bidi w:val="0"/>
              <w:spacing w:before="0" w:after="283"/>
              <w:jc w:val="left"/>
              <w:rPr/>
            </w:pPr>
            <w:r>
              <w:rPr/>
              <w:t> </w:t>
            </w:r>
          </w:p>
        </w:tc>
      </w:tr>
      <w:tr>
        <w:trPr/>
        <w:tc>
          <w:tcPr>
            <w:tcW w:w="22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Hubert Chen</w:t>
            </w:r>
          </w:p>
          <w:p>
            <w:pPr>
              <w:pStyle w:val="TableContents"/>
              <w:bidi w:val="0"/>
              <w:spacing w:before="0" w:after="20"/>
              <w:jc w:val="left"/>
              <w:rPr>
                <w:rFonts w:ascii="Times New Roman" w:hAnsi="Times New Roman"/>
                <w:i/>
                <w:sz w:val="20"/>
              </w:rPr>
            </w:pPr>
            <w:r>
              <w:rPr>
                <w:rFonts w:ascii="Times New Roman" w:hAnsi="Times New Roman"/>
                <w:i/>
                <w:sz w:val="20"/>
              </w:rPr>
              <w:t>Chief Medical Officer</w:t>
            </w:r>
          </w:p>
        </w:tc>
        <w:tc>
          <w:tcPr>
            <w:tcW w:w="12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466,049</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pPr>
            <w:r>
              <w:rPr/>
              <w:t>179,837</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264,560</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right"/>
              <w:rPr/>
            </w:pPr>
            <w:r>
              <w:rPr/>
              <w:t>6,000</w:t>
            </w:r>
          </w:p>
        </w:tc>
        <w:tc>
          <w:tcPr>
            <w:tcW w:w="349" w:type="dxa"/>
            <w:tcBorders/>
            <w:shd w:fill="CCEEFF" w:val="clear"/>
            <w:vAlign w:val="bottom"/>
          </w:tcPr>
          <w:p>
            <w:pPr>
              <w:pStyle w:val="TableContents"/>
              <w:bidi w:val="0"/>
              <w:spacing w:before="0" w:after="283"/>
              <w:jc w:val="left"/>
              <w:rPr/>
            </w:pPr>
            <w:r>
              <w:rPr/>
              <w:t>(3)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916,446</w:t>
            </w:r>
          </w:p>
        </w:tc>
        <w:tc>
          <w:tcPr>
            <w:tcW w:w="69"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Performance-based bonuses for 2025 were determined by our board of directors and paid during the first quarter of 2026. For additional information regarding the non-equity incentive plan compensation, see the section titled “Annual Performance-Based Bonuses.”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Represents the grant date fair value of options awarded during the year ended December 31, 2025 as computed in accordance with ASC Topic 718. The assumptions used in calculating the grant date fair value of the stock options reported in the Option award column are set forth in Note 10 to our consolidated financial statements included elsewhere in this prospectus. Note that the amounts reported in this column reflect the aggregate accounting cost for these awards, and do not necessarily correspond to the actual economic value that may be received by each named executive officer from the options.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Represents a $6,000 matching contribution under our 401(k) plan.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Represents a $6,000 matching contribution under our 401(k) plan, $100,000 in relocation assistance and a $1,200 cell phone allowance.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Base Salaries </w:t>
      </w:r>
    </w:p>
    <w:p>
      <w:pPr>
        <w:pStyle w:val="TextBody"/>
        <w:bidi w:val="0"/>
        <w:spacing w:before="120" w:after="0"/>
        <w:jc w:val="both"/>
        <w:rPr>
          <w:rFonts w:ascii="Times New Roman" w:hAnsi="Times New Roman"/>
          <w:sz w:val="20"/>
        </w:rPr>
      </w:pPr>
      <w:r>
        <w:rPr>
          <w:rFonts w:ascii="Times New Roman" w:hAnsi="Times New Roman"/>
          <w:sz w:val="20"/>
        </w:rPr>
        <w:t xml:space="preserve">Base salary is the only fixed component of our named executive officers’ total cash compensation and provides competitive and stable pay to attract and retain our executives. We make annual salary decisions by taking into account competitive data, the skills and experience that each executive brings to us, and the performance contributions of each executive. The base salaries paid to our named executive officers for the year ended December 31, 2025 are included in the Summary Compensation Table above. </w:t>
      </w:r>
    </w:p>
    <w:p>
      <w:pPr>
        <w:pStyle w:val="TextBody"/>
        <w:bidi w:val="0"/>
        <w:spacing w:before="360" w:after="0"/>
        <w:jc w:val="left"/>
        <w:rPr>
          <w:rFonts w:ascii="Times New Roman" w:hAnsi="Times New Roman"/>
          <w:b/>
          <w:sz w:val="20"/>
        </w:rPr>
      </w:pPr>
      <w:r>
        <w:rPr>
          <w:rFonts w:ascii="Times New Roman" w:hAnsi="Times New Roman"/>
          <w:b/>
          <w:sz w:val="20"/>
        </w:rPr>
        <w:t xml:space="preserve">Annual Performance-Based Bonuses </w:t>
      </w:r>
    </w:p>
    <w:p>
      <w:pPr>
        <w:pStyle w:val="TextBody"/>
        <w:bidi w:val="0"/>
        <w:spacing w:before="120" w:after="0"/>
        <w:jc w:val="both"/>
        <w:rPr>
          <w:rFonts w:ascii="Times New Roman" w:hAnsi="Times New Roman"/>
          <w:sz w:val="20"/>
        </w:rPr>
      </w:pPr>
      <w:r>
        <w:rPr>
          <w:rFonts w:ascii="Times New Roman" w:hAnsi="Times New Roman"/>
          <w:sz w:val="20"/>
        </w:rPr>
        <w:t xml:space="preserve">A portion of the target compensation for each named executive officer is in the form of an annual cash bonus, which is based on the achievement of corporate and individual performance. For the 2025 annual cash bonuses, the corporate performance objectives included certain research, development, financial and other corporate goals. The target 2025 annual cash bonus amounts, expressed as a percentage of their annual base salary, for Mr. Fu, Mr. Veiby and Dr. Chen were 50%, 35%, and 35%, respectively. The amount of each named executive officer’s 2025 annual cash bonus was approved by our board of directors and paid during the first quarter of fiscal year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Equity-Based Incentive Awards </w:t>
      </w:r>
    </w:p>
    <w:p>
      <w:pPr>
        <w:pStyle w:val="TextBody"/>
        <w:bidi w:val="0"/>
        <w:spacing w:before="120" w:after="0"/>
        <w:jc w:val="both"/>
        <w:rPr>
          <w:rFonts w:ascii="Times New Roman" w:hAnsi="Times New Roman"/>
          <w:sz w:val="20"/>
        </w:rPr>
      </w:pPr>
      <w:r>
        <w:rPr>
          <w:rFonts w:ascii="Times New Roman" w:hAnsi="Times New Roman"/>
          <w:sz w:val="20"/>
        </w:rPr>
        <w:t xml:space="preserve">Our equity-based incentive awards are designed to align our named executive officers’ interests with those of our stockholders and to retain and incentivize our named executive officers over the long term. Our board of directors is responsible for approving equity grants. Vesting of equity awards is tied to continuous service with us and serves as an additional retention measure. Our named executive officers generally are awarded an initial new hire grant upon commencement of employment. Additional grants may occur periodically in order to specifically incentivize our named executive officers with respect to achieving certain corporate goals or to reward our named executive officers for exceptional performance. </w:t>
      </w:r>
    </w:p>
    <w:p>
      <w:pPr>
        <w:pStyle w:val="TextBody"/>
        <w:bidi w:val="0"/>
        <w:spacing w:before="240" w:after="0"/>
        <w:jc w:val="both"/>
        <w:rPr>
          <w:rFonts w:ascii="Times New Roman" w:hAnsi="Times New Roman"/>
          <w:sz w:val="20"/>
        </w:rPr>
      </w:pPr>
      <w:r>
        <w:rPr>
          <w:rFonts w:ascii="Times New Roman" w:hAnsi="Times New Roman"/>
          <w:sz w:val="20"/>
        </w:rPr>
        <w:t xml:space="preserve">Prior to this offering, we have granted all option awards pursuant to our 2023 Plan, the terms of which are described below under “—Equity Compensation Plans and Other Benefit Plans.” All options are granted with a per share exercise price equal to no less than the fair market value of a share of our common stock on the date of the grant of such award. Generally, our option awards vest over a four-year period subject to the holder’s continuous service to us, as further described under “—Outstanding Equity Awards at 2025 Fiscal Year-End Table” below. </w:t>
      </w:r>
    </w:p>
    <w:p>
      <w:pPr>
        <w:pStyle w:val="TextBody"/>
        <w:bidi w:val="0"/>
        <w:spacing w:before="240" w:after="0"/>
        <w:jc w:val="both"/>
        <w:rPr>
          <w:rFonts w:ascii="Times New Roman" w:hAnsi="Times New Roman"/>
          <w:sz w:val="20"/>
        </w:rPr>
      </w:pPr>
      <w:r>
        <w:rPr>
          <w:rFonts w:ascii="Times New Roman" w:hAnsi="Times New Roman"/>
          <w:sz w:val="20"/>
        </w:rPr>
        <w:t xml:space="preserve">In April 2023, we issued restricted stock awards (RSAs) with a per share purchase price of $0.0009 to Mr. Fu. Generally, these RSAs vest over a four-year period subject to the holder’s continuous service to us, and until vested, we may repurchase any unvested shares at the original per share purchase price, as further described under “—Outstanding Equity Awards at 2025 Fiscal Year-End Table” below. If there is a Change of Control (as defined in the restricted stock purchase agreement) and if, during the period of time commencing 90 days prior to the execution of a definitive agreement providing for the consummation of such Change of Control and ending on the one-year anniversary of the consummation of such Change of Control, Mr. Fu’s employment is terminated other than for cause (as defined in the restricted stock purchase agreement) or is terminated for good reason (as defined in the restricted stock purchase agreement), then 100% of the RSAs that are unvested as of such termination will become vested at the time of such termination.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Equity Awards at 2025 Fiscal Year-End Table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summarizes the outstanding equity awards for each of our named executive officers as of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2"/>
        <w:gridCol w:w="144"/>
        <w:gridCol w:w="60"/>
        <w:gridCol w:w="736"/>
        <w:gridCol w:w="350"/>
        <w:gridCol w:w="127"/>
        <w:gridCol w:w="88"/>
        <w:gridCol w:w="1276"/>
        <w:gridCol w:w="60"/>
        <w:gridCol w:w="181"/>
        <w:gridCol w:w="100"/>
        <w:gridCol w:w="1464"/>
        <w:gridCol w:w="60"/>
        <w:gridCol w:w="181"/>
        <w:gridCol w:w="105"/>
        <w:gridCol w:w="837"/>
        <w:gridCol w:w="60"/>
        <w:gridCol w:w="181"/>
        <w:gridCol w:w="59"/>
        <w:gridCol w:w="1167"/>
        <w:gridCol w:w="60"/>
        <w:gridCol w:w="181"/>
        <w:gridCol w:w="30"/>
        <w:gridCol w:w="30"/>
        <w:gridCol w:w="66"/>
      </w:tblGrid>
      <w:tr>
        <w:trPr/>
        <w:tc>
          <w:tcPr>
            <w:tcW w:w="2602"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60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96" w:type="dxa"/>
            <w:gridSpan w:val="2"/>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5819"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Option Awards(1)</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pBdr>
                <w:bottom w:val="single" w:sz="8" w:space="1" w:color="000000"/>
              </w:pBdr>
              <w:bidi w:val="0"/>
              <w:spacing w:before="0" w:after="0"/>
              <w:jc w:val="left"/>
              <w:rPr/>
            </w:pPr>
            <w:r>
              <w:rPr/>
              <w:t> </w:t>
            </w:r>
          </w:p>
        </w:tc>
        <w:tc>
          <w:tcPr>
            <w:tcW w:w="66" w:type="dxa"/>
            <w:tcBorders/>
            <w:vAlign w:val="bottom"/>
          </w:tcPr>
          <w:p>
            <w:pPr>
              <w:pStyle w:val="TableContents"/>
              <w:bidi w:val="0"/>
              <w:spacing w:before="0" w:after="283"/>
              <w:jc w:val="left"/>
              <w:rPr/>
            </w:pPr>
            <w:r>
              <w:rPr/>
              <w:t> </w:t>
            </w:r>
          </w:p>
        </w:tc>
      </w:tr>
      <w:tr>
        <w:trPr/>
        <w:tc>
          <w:tcPr>
            <w:tcW w:w="260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44" w:type="dxa"/>
            <w:tcBorders/>
            <w:vAlign w:val="bottom"/>
          </w:tcPr>
          <w:p>
            <w:pPr>
              <w:pStyle w:val="TableContents"/>
              <w:bidi w:val="0"/>
              <w:spacing w:before="0" w:after="283"/>
              <w:jc w:val="left"/>
              <w:rPr/>
            </w:pPr>
            <w:r>
              <w:rPr/>
              <w:t>  </w:t>
            </w:r>
          </w:p>
        </w:tc>
        <w:tc>
          <w:tcPr>
            <w:tcW w:w="7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Grant Date</w:t>
            </w:r>
          </w:p>
        </w:tc>
        <w:tc>
          <w:tcPr>
            <w:tcW w:w="35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w:t>
              <w:br/>
              <w:t>Exercisable</w:t>
              <w:br/>
              <w:t>(#)</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5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w:t>
              <w:br/>
              <w:t>Unexercisable</w:t>
              <w:br/>
              <w:t>(#)</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Exercise</w:t>
              <w:br/>
              <w:t>Price</w:t>
              <w:br/>
              <w:t>($)</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Expiration</w:t>
              <w:br/>
              <w:t>Date</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pBdr>
                <w:bottom w:val="single" w:sz="8" w:space="1" w:color="000000"/>
              </w:pBdr>
              <w:bidi w:val="0"/>
              <w:spacing w:before="0" w:after="0"/>
              <w:jc w:val="left"/>
              <w:rPr/>
            </w:pPr>
            <w:r>
              <w:rPr/>
              <w:t> </w:t>
            </w:r>
          </w:p>
        </w:tc>
        <w:tc>
          <w:tcPr>
            <w:tcW w:w="66" w:type="dxa"/>
            <w:tcBorders/>
            <w:vAlign w:val="bottom"/>
          </w:tcPr>
          <w:p>
            <w:pPr>
              <w:pStyle w:val="TableContents"/>
              <w:bidi w:val="0"/>
              <w:spacing w:before="0" w:after="283"/>
              <w:jc w:val="left"/>
              <w:rPr/>
            </w:pPr>
            <w:r>
              <w:rPr/>
              <w:t> </w:t>
            </w:r>
          </w:p>
        </w:tc>
      </w:tr>
      <w:tr>
        <w:trPr/>
        <w:tc>
          <w:tcPr>
            <w:tcW w:w="2602" w:type="dxa"/>
            <w:vMerge w:val="restart"/>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Tao Fu</w:t>
              <w:br/>
            </w:r>
            <w:r>
              <w:rPr>
                <w:rFonts w:ascii="Times New Roman" w:hAnsi="Times New Roman"/>
                <w:i/>
                <w:sz w:val="20"/>
              </w:rPr>
              <w:t>Chief Executive Officer and President</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08/17/2023</w:t>
            </w:r>
          </w:p>
        </w:tc>
        <w:tc>
          <w:tcPr>
            <w:tcW w:w="350" w:type="dxa"/>
            <w:tcBorders/>
            <w:shd w:fill="CCEEFF" w:val="clear"/>
            <w:vAlign w:val="bottom"/>
          </w:tcPr>
          <w:p>
            <w:pPr>
              <w:pStyle w:val="TableContents"/>
              <w:bidi w:val="0"/>
              <w:spacing w:before="0" w:after="283"/>
              <w:jc w:val="left"/>
              <w:rPr/>
            </w:pPr>
            <w:r>
              <w:rPr/>
              <w:t>(2) </w:t>
            </w:r>
          </w:p>
        </w:tc>
        <w:tc>
          <w:tcPr>
            <w:tcW w:w="12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6,391</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38,347</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1.58</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08/16/2033</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602" w:type="dxa"/>
            <w:vMerge w:val="continue"/>
            <w:tcBorders/>
            <w:shd w:fill="CCEEFF" w:val="clear"/>
          </w:tcPr>
          <w:p>
            <w:pPr>
              <w:pStyle w:val="Normal"/>
              <w:bidi w:val="0"/>
              <w:jc w:val="left"/>
              <w:rPr/>
            </w:pPr>
            <w:r>
              <w:rPr/>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05/09/2024</w:t>
            </w:r>
          </w:p>
        </w:tc>
        <w:tc>
          <w:tcPr>
            <w:tcW w:w="350" w:type="dxa"/>
            <w:tcBorders/>
            <w:shd w:fill="CCEEFF" w:val="clear"/>
            <w:vAlign w:val="bottom"/>
          </w:tcPr>
          <w:p>
            <w:pPr>
              <w:pStyle w:val="TableContents"/>
              <w:bidi w:val="0"/>
              <w:spacing w:before="0" w:after="283"/>
              <w:jc w:val="left"/>
              <w:rPr/>
            </w:pPr>
            <w:r>
              <w:rPr/>
              <w:t>(3) </w:t>
            </w:r>
          </w:p>
        </w:tc>
        <w:tc>
          <w:tcPr>
            <w:tcW w:w="12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158,657</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267,940</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3.53</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05/08/2034</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602" w:type="dxa"/>
            <w:vMerge w:val="continue"/>
            <w:tcBorders/>
            <w:shd w:fill="CCEEFF" w:val="clear"/>
          </w:tcPr>
          <w:p>
            <w:pPr>
              <w:pStyle w:val="Normal"/>
              <w:bidi w:val="0"/>
              <w:jc w:val="left"/>
              <w:rPr/>
            </w:pPr>
            <w:r>
              <w:rPr/>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05/18/2025</w:t>
            </w:r>
          </w:p>
        </w:tc>
        <w:tc>
          <w:tcPr>
            <w:tcW w:w="350" w:type="dxa"/>
            <w:tcBorders/>
            <w:shd w:fill="CCEEFF" w:val="clear"/>
            <w:vAlign w:val="bottom"/>
          </w:tcPr>
          <w:p>
            <w:pPr>
              <w:pStyle w:val="TableContents"/>
              <w:bidi w:val="0"/>
              <w:spacing w:before="0" w:after="283"/>
              <w:jc w:val="left"/>
              <w:rPr/>
            </w:pPr>
            <w:r>
              <w:rPr/>
              <w:t>(4) </w:t>
            </w:r>
          </w:p>
        </w:tc>
        <w:tc>
          <w:tcPr>
            <w:tcW w:w="12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370,290</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4.92</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05/17/2035</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602" w:type="dxa"/>
            <w:vMerge w:val="restart"/>
            <w:tcBorders/>
          </w:tcPr>
          <w:p>
            <w:pPr>
              <w:pStyle w:val="TableContents"/>
              <w:bidi w:val="0"/>
              <w:spacing w:before="0" w:after="0"/>
              <w:jc w:val="left"/>
              <w:rPr>
                <w:rFonts w:ascii="Times New Roman" w:hAnsi="Times New Roman"/>
                <w:sz w:val="20"/>
              </w:rPr>
            </w:pPr>
            <w:r>
              <w:rPr>
                <w:rFonts w:ascii="Times New Roman" w:hAnsi="Times New Roman"/>
                <w:sz w:val="20"/>
              </w:rPr>
              <w:t>Petter Veiby</w:t>
              <w:br/>
            </w:r>
            <w:r>
              <w:rPr>
                <w:rFonts w:ascii="Times New Roman" w:hAnsi="Times New Roman"/>
                <w:i/>
                <w:sz w:val="20"/>
              </w:rPr>
              <w:t>Chief Scientific</w:t>
            </w:r>
            <w:r>
              <w:rPr>
                <w:rFonts w:ascii="Times New Roman" w:hAnsi="Times New Roman"/>
                <w:sz w:val="20"/>
              </w:rPr>
              <w:t xml:space="preserve"> </w:t>
            </w:r>
            <w:r>
              <w:rPr>
                <w:rFonts w:ascii="Times New Roman" w:hAnsi="Times New Roman"/>
                <w:i/>
                <w:sz w:val="20"/>
              </w:rPr>
              <w:t>Officer</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08/17/2023</w:t>
            </w:r>
          </w:p>
        </w:tc>
        <w:tc>
          <w:tcPr>
            <w:tcW w:w="350" w:type="dxa"/>
            <w:tcBorders/>
            <w:vAlign w:val="bottom"/>
          </w:tcPr>
          <w:p>
            <w:pPr>
              <w:pStyle w:val="TableContents"/>
              <w:bidi w:val="0"/>
              <w:spacing w:before="0" w:after="283"/>
              <w:jc w:val="left"/>
              <w:rPr/>
            </w:pPr>
            <w:r>
              <w:rPr/>
              <w:t>(5) </w:t>
            </w:r>
          </w:p>
        </w:tc>
        <w:tc>
          <w:tcPr>
            <w:tcW w:w="12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16,819</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10,091</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1.58</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08/16/2033</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602" w:type="dxa"/>
            <w:vMerge w:val="continue"/>
            <w:tcBorders/>
          </w:tcPr>
          <w:p>
            <w:pPr>
              <w:pStyle w:val="Normal"/>
              <w:bidi w:val="0"/>
              <w:jc w:val="left"/>
              <w:rPr/>
            </w:pPr>
            <w:r>
              <w:rPr/>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03/06/2024</w:t>
            </w:r>
          </w:p>
        </w:tc>
        <w:tc>
          <w:tcPr>
            <w:tcW w:w="350" w:type="dxa"/>
            <w:tcBorders/>
            <w:vAlign w:val="bottom"/>
          </w:tcPr>
          <w:p>
            <w:pPr>
              <w:pStyle w:val="TableContents"/>
              <w:bidi w:val="0"/>
              <w:spacing w:before="0" w:after="283"/>
              <w:jc w:val="left"/>
              <w:rPr/>
            </w:pPr>
            <w:r>
              <w:rPr/>
              <w:t>(6) </w:t>
            </w:r>
          </w:p>
        </w:tc>
        <w:tc>
          <w:tcPr>
            <w:tcW w:w="12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2,354</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3,027</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2.88</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03/05/2034</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602" w:type="dxa"/>
            <w:tcBorders/>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05/09/2024</w:t>
            </w:r>
          </w:p>
        </w:tc>
        <w:tc>
          <w:tcPr>
            <w:tcW w:w="350" w:type="dxa"/>
            <w:tcBorders/>
            <w:vAlign w:val="bottom"/>
          </w:tcPr>
          <w:p>
            <w:pPr>
              <w:pStyle w:val="TableContents"/>
              <w:bidi w:val="0"/>
              <w:spacing w:before="0" w:after="283"/>
              <w:jc w:val="left"/>
              <w:rPr/>
            </w:pPr>
            <w:r>
              <w:rPr/>
              <w:t>(3) </w:t>
            </w:r>
          </w:p>
        </w:tc>
        <w:tc>
          <w:tcPr>
            <w:tcW w:w="12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42,608</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65,034</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3.53</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05/08/2034</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602" w:type="dxa"/>
            <w:tcBorders/>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05/18/2025</w:t>
            </w:r>
          </w:p>
        </w:tc>
        <w:tc>
          <w:tcPr>
            <w:tcW w:w="350" w:type="dxa"/>
            <w:tcBorders/>
            <w:vAlign w:val="bottom"/>
          </w:tcPr>
          <w:p>
            <w:pPr>
              <w:pStyle w:val="TableContents"/>
              <w:bidi w:val="0"/>
              <w:spacing w:before="0" w:after="283"/>
              <w:jc w:val="left"/>
              <w:rPr/>
            </w:pPr>
            <w:r>
              <w:rPr/>
              <w:t>(4) </w:t>
            </w:r>
          </w:p>
        </w:tc>
        <w:tc>
          <w:tcPr>
            <w:tcW w:w="12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89,343</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4.92</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05/17/2035</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602" w:type="dxa"/>
            <w:vMerge w:val="restart"/>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Hubert Chen</w:t>
              <w:br/>
            </w:r>
            <w:r>
              <w:rPr>
                <w:rFonts w:ascii="Times New Roman" w:hAnsi="Times New Roman"/>
                <w:i/>
                <w:sz w:val="20"/>
              </w:rPr>
              <w:t>Chief Medical Officer</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05/09/2024</w:t>
            </w:r>
          </w:p>
        </w:tc>
        <w:tc>
          <w:tcPr>
            <w:tcW w:w="350" w:type="dxa"/>
            <w:tcBorders/>
            <w:shd w:fill="CCEEFF" w:val="clear"/>
            <w:vAlign w:val="bottom"/>
          </w:tcPr>
          <w:p>
            <w:pPr>
              <w:pStyle w:val="TableContents"/>
              <w:bidi w:val="0"/>
              <w:spacing w:before="0" w:after="283"/>
              <w:jc w:val="left"/>
              <w:rPr/>
            </w:pPr>
            <w:r>
              <w:rPr/>
              <w:t>(7) </w:t>
            </w:r>
          </w:p>
        </w:tc>
        <w:tc>
          <w:tcPr>
            <w:tcW w:w="12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48,842</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66,603</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3.53</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05/08/2034</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602" w:type="dxa"/>
            <w:vMerge w:val="continue"/>
            <w:tcBorders/>
            <w:shd w:fill="CCEEFF" w:val="clear"/>
          </w:tcPr>
          <w:p>
            <w:pPr>
              <w:pStyle w:val="Normal"/>
              <w:bidi w:val="0"/>
              <w:jc w:val="left"/>
              <w:rPr/>
            </w:pPr>
            <w:r>
              <w:rPr/>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05/09/2024</w:t>
            </w:r>
          </w:p>
        </w:tc>
        <w:tc>
          <w:tcPr>
            <w:tcW w:w="350" w:type="dxa"/>
            <w:tcBorders/>
            <w:shd w:fill="CCEEFF" w:val="clear"/>
            <w:vAlign w:val="bottom"/>
          </w:tcPr>
          <w:p>
            <w:pPr>
              <w:pStyle w:val="TableContents"/>
              <w:bidi w:val="0"/>
              <w:spacing w:before="0" w:after="283"/>
              <w:jc w:val="left"/>
              <w:rPr/>
            </w:pPr>
            <w:r>
              <w:rPr/>
              <w:t>(3) </w:t>
            </w:r>
          </w:p>
        </w:tc>
        <w:tc>
          <w:tcPr>
            <w:tcW w:w="12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38,347</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58,530</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3.53</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05/08/2034</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602" w:type="dxa"/>
            <w:vMerge w:val="continue"/>
            <w:tcBorders/>
            <w:shd w:fill="CCEEFF" w:val="clear"/>
          </w:tcPr>
          <w:p>
            <w:pPr>
              <w:pStyle w:val="Normal"/>
              <w:bidi w:val="0"/>
              <w:jc w:val="left"/>
              <w:rPr/>
            </w:pPr>
            <w:r>
              <w:rPr/>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05/18/2025</w:t>
            </w:r>
          </w:p>
        </w:tc>
        <w:tc>
          <w:tcPr>
            <w:tcW w:w="350" w:type="dxa"/>
            <w:tcBorders/>
            <w:shd w:fill="CCEEFF" w:val="clear"/>
            <w:vAlign w:val="bottom"/>
          </w:tcPr>
          <w:p>
            <w:pPr>
              <w:pStyle w:val="TableContents"/>
              <w:bidi w:val="0"/>
              <w:spacing w:before="0" w:after="283"/>
              <w:jc w:val="left"/>
              <w:rPr/>
            </w:pPr>
            <w:r>
              <w:rPr/>
              <w:t>(4) </w:t>
            </w:r>
          </w:p>
        </w:tc>
        <w:tc>
          <w:tcPr>
            <w:tcW w:w="12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80,731</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4.92</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05/17/2035</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Unless otherwise noted, all outstanding equity awards were granted under the 2023 Plan.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Vests with respect to 1/4th of the shares of our common stock underlying the stock option on the one-year anniversary of June 2, 2023 and an additional 1/48th of the total shares underlying the stock option vest in equal monthly installments over three years, subject to continued service through such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Vests with respect to 1/4th of the shares of our common stock underlying the stock option on the one-year anniversary of May 9, 2024 and an additional 1/48th of the total shares underlying the stock option vest in equal monthly installments over three years, subject to continued service through such date.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Vests with respect to 1/4th of the shares of our common stock underlying the stock option on the one-year anniversary of May 18, 2025 and an additional 1/48th of the total shares underlying the stock option vest in equal monthly installments over three years, subject to continued service through such date.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Vests with respect to 1/4th of the shares of our common stock underlying the stock option on the one-year anniversary of June 19, 2023 and an additional 1/48th of the total shares underlying the stock option vest in equal monthly installments over three years, subject to continued service through such date.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Vests with respect to 1/4th of the shares of our common stock underlying the stock option on the one-year anniversary of March 6, 2024 and an additional 1/48th of the total shares underlying the stock option vest in equal monthly installments over three years, subject to continued service through such date.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Vests with respect to 1/4th of the shares of our common stock underlying the stock option on the one-year anniversary of March 20, 2024 and an additional 1/48th of the total shares underlying the stock option vest in equal monthly installments over three years, subject to continued service through such date.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Employment Agreements </w:t>
      </w:r>
    </w:p>
    <w:p>
      <w:pPr>
        <w:pStyle w:val="TextBody"/>
        <w:bidi w:val="0"/>
        <w:spacing w:before="120" w:after="0"/>
        <w:jc w:val="both"/>
        <w:rPr>
          <w:rFonts w:ascii="Times New Roman" w:hAnsi="Times New Roman"/>
          <w:sz w:val="20"/>
        </w:rPr>
      </w:pPr>
      <w:r>
        <w:rPr>
          <w:rFonts w:ascii="Times New Roman" w:hAnsi="Times New Roman"/>
          <w:sz w:val="20"/>
        </w:rPr>
        <w:t xml:space="preserve">In connection with this offering, we have entered into a new employment agreement with each of our named executive officers, each of which provides for at-will employment and includes each officer’s base salary, a discretionary annual incentive bonus opportunity and standard employee benefit plan participation.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Payments upon Termination or Change of Control </w:t>
      </w:r>
    </w:p>
    <w:p>
      <w:pPr>
        <w:pStyle w:val="TextBody"/>
        <w:bidi w:val="0"/>
        <w:spacing w:before="120" w:after="0"/>
        <w:jc w:val="both"/>
        <w:rPr>
          <w:rFonts w:ascii="Times New Roman" w:hAnsi="Times New Roman"/>
          <w:sz w:val="20"/>
        </w:rPr>
      </w:pPr>
      <w:r>
        <w:rPr>
          <w:rFonts w:ascii="Times New Roman" w:hAnsi="Times New Roman"/>
          <w:sz w:val="20"/>
        </w:rPr>
        <w:t xml:space="preserve">In connection with this offering, we adopted an executive severance and change in control plan, under which each of our named executive officers will participate. The executive severance and change in control plan will become effective upon the completion of this offering. </w:t>
      </w:r>
    </w:p>
    <w:p>
      <w:pPr>
        <w:pStyle w:val="TextBody"/>
        <w:bidi w:val="0"/>
        <w:spacing w:before="240" w:after="0"/>
        <w:jc w:val="both"/>
        <w:rPr>
          <w:rFonts w:ascii="Times New Roman" w:hAnsi="Times New Roman"/>
          <w:sz w:val="20"/>
        </w:rPr>
      </w:pPr>
      <w:r>
        <w:rPr>
          <w:rFonts w:ascii="Times New Roman" w:hAnsi="Times New Roman"/>
          <w:sz w:val="20"/>
        </w:rPr>
        <w:t xml:space="preserve">The executive severance and change in control plan provides that, upon a termination by us of an executive without “cause” or by the executive due to “good reason” (as such terms are defined in the executive severance and change in control plan), the executive will receive (i) payment of 9 months of such executive’s base salary (12 months, in the case of our CEO), (ii) payment of such executive’s prorated annual target bonus, (iii) continued payment of COBRA premiums for a maximum of 9 months (12 months, in the case of our CEO) and (iv) 6 months of accelerated vesting of all outstanding and unvested equity awards held by the executive, provided that any outstanding and unvested equity awards subject to performance conditions will instead be subject to the terms set forth in the applicable award agreements. An executive shall be entitled to exercise each of the executive’s equity awards that are outstanding as of completion of this offering within the earlier of 6 months (one year, in the case of our CEO) following executive’s termination without “cause” or for “good reason” and the expiration date of the equity award. </w:t>
      </w:r>
    </w:p>
    <w:p>
      <w:pPr>
        <w:pStyle w:val="TextBody"/>
        <w:bidi w:val="0"/>
        <w:spacing w:before="240" w:after="0"/>
        <w:jc w:val="both"/>
        <w:rPr>
          <w:rFonts w:ascii="Times New Roman" w:hAnsi="Times New Roman"/>
          <w:sz w:val="20"/>
        </w:rPr>
      </w:pPr>
      <w:r>
        <w:rPr>
          <w:rFonts w:ascii="Times New Roman" w:hAnsi="Times New Roman"/>
          <w:sz w:val="20"/>
        </w:rPr>
        <w:t xml:space="preserve">The executive severance and change in control plan also provides that, if such termination of employment occurs within three months prior to, or 12 months following, a “change in control” (as defined in the executive severance and change in control plan), the executive will receive (i) payment of 12 months of base salary (18 months, in the case of our CEO), (ii) payment of 100% of such executive’s annual target bonus (payment of 150% of such executive’s annual target bonus, in the case of our CEO) (iii) continued payment of COBRA premiums for a maximum of 12 months (18 months, in the case of our CEO), and (iv) full accelerated vesting of all outstanding and unvested equity awards held by the executive, provided that any outstanding and unvested equity awards subject to performance conditions will instead be subject to the terms set forth in the applicable award agreements. An executive shall be entitled to exercise each of the executive’s equity awards that are outstanding as of completion of this offering within the earlier of 6 months (one year, in the case of our CEO) following executive’s termination without “cause” or for “good reason” and the expiration date of the equity award. </w:t>
      </w:r>
    </w:p>
    <w:p>
      <w:pPr>
        <w:pStyle w:val="TextBody"/>
        <w:bidi w:val="0"/>
        <w:spacing w:before="240" w:after="0"/>
        <w:jc w:val="both"/>
        <w:rPr>
          <w:rFonts w:ascii="Times New Roman" w:hAnsi="Times New Roman"/>
          <w:sz w:val="20"/>
        </w:rPr>
      </w:pPr>
      <w:r>
        <w:rPr>
          <w:rFonts w:ascii="Times New Roman" w:hAnsi="Times New Roman"/>
          <w:sz w:val="20"/>
        </w:rPr>
        <w:t xml:space="preserve">All such severance payments and benefits under the executive severance and change in control plan will be subject to each executive’s execution of a general release of claims against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Equity Compensation Plans and Other Benefit Plans </w:t>
      </w:r>
    </w:p>
    <w:p>
      <w:pPr>
        <w:pStyle w:val="TextBody"/>
        <w:bidi w:val="0"/>
        <w:spacing w:before="120" w:after="0"/>
        <w:jc w:val="both"/>
        <w:rPr>
          <w:rFonts w:ascii="Times New Roman" w:hAnsi="Times New Roman"/>
          <w:sz w:val="20"/>
        </w:rPr>
      </w:pPr>
      <w:r>
        <w:rPr>
          <w:rFonts w:ascii="Times New Roman" w:hAnsi="Times New Roman"/>
          <w:sz w:val="20"/>
        </w:rPr>
        <w:t xml:space="preserve">We believe that our ability to grant equity-based awards is a valuable compensation tool that enables us to attract, retain and motivate our employees, consultants and directors by aligning their financial interests with those of our stockholders. The principal features of our equity plans are summarized below. These summaries are qualified in their entirety by reference to the actual text of the plans, which are filed as exhibits to the registration statement of which this prospectus is a part.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2023 Equity Incentive Plan </w:t>
      </w:r>
    </w:p>
    <w:p>
      <w:pPr>
        <w:pStyle w:val="TextBody"/>
        <w:bidi w:val="0"/>
        <w:spacing w:before="120" w:after="0"/>
        <w:jc w:val="both"/>
        <w:rPr>
          <w:rFonts w:ascii="Times New Roman" w:hAnsi="Times New Roman"/>
          <w:sz w:val="20"/>
        </w:rPr>
      </w:pPr>
      <w:r>
        <w:rPr>
          <w:rFonts w:ascii="Times New Roman" w:hAnsi="Times New Roman"/>
          <w:sz w:val="20"/>
        </w:rPr>
        <w:t xml:space="preserve">The 2023 Plan was initially adopted by our board of directors and approved by our stockholders in June 2023. The 2023 Plan will terminate on the date that the 2026 Plan becomes effective (as described below) and no additional grants will be made pursuant to the 2023 Plan following its termination. However, any outstanding awards will remain outstanding and subject to the terms and conditions of the 2023 Plan until they are exercised, as applicable, or are terminated in accordance with the terms of the 2023 Plan and the applicable award agreements evidencing such awards. </w:t>
      </w:r>
    </w:p>
    <w:p>
      <w:pPr>
        <w:pStyle w:val="TextBody"/>
        <w:bidi w:val="0"/>
        <w:spacing w:before="360" w:after="0"/>
        <w:jc w:val="left"/>
        <w:rPr>
          <w:rFonts w:ascii="Times New Roman" w:hAnsi="Times New Roman"/>
          <w:i/>
          <w:sz w:val="20"/>
        </w:rPr>
      </w:pPr>
      <w:r>
        <w:rPr>
          <w:rFonts w:ascii="Times New Roman" w:hAnsi="Times New Roman"/>
          <w:i/>
          <w:sz w:val="20"/>
        </w:rPr>
        <w:t xml:space="preserve">Share Reserve </w:t>
      </w:r>
    </w:p>
    <w:p>
      <w:pPr>
        <w:pStyle w:val="TextBody"/>
        <w:bidi w:val="0"/>
        <w:spacing w:before="120" w:after="0"/>
        <w:jc w:val="both"/>
        <w:rPr>
          <w:rFonts w:ascii="Times New Roman" w:hAnsi="Times New Roman"/>
          <w:sz w:val="20"/>
        </w:rPr>
      </w:pPr>
      <w:r>
        <w:rPr>
          <w:rFonts w:ascii="Times New Roman" w:hAnsi="Times New Roman"/>
          <w:sz w:val="20"/>
        </w:rPr>
        <w:t xml:space="preserve">As of March 31, 2026, we had 3,293,424 shares of our common stock reserved for issuance pursuant to grants under our 2023 Plan, of which 383,264 remained available for grant. As of March 31, 2026, options to purchase 205,344 shares of common stock had been exercised and options to purchase 2,704,695 shares remained outstanding, with a weighted-average exercise price of $4.03 per share. No other types of awards have been granted or are currently outstanding under the 2023 Plan. No additional grants will be made under the 2023 Plan following the date our 2026 Plan becomes effective. </w:t>
      </w:r>
    </w:p>
    <w:p>
      <w:pPr>
        <w:pStyle w:val="TextBody"/>
        <w:bidi w:val="0"/>
        <w:spacing w:before="360" w:after="0"/>
        <w:jc w:val="left"/>
        <w:rPr>
          <w:rFonts w:ascii="Times New Roman" w:hAnsi="Times New Roman"/>
          <w:i/>
          <w:sz w:val="20"/>
        </w:rPr>
      </w:pPr>
      <w:r>
        <w:rPr>
          <w:rFonts w:ascii="Times New Roman" w:hAnsi="Times New Roman"/>
          <w:i/>
          <w:sz w:val="20"/>
        </w:rPr>
        <w:t xml:space="preserve">Administration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or a committee thereof appointed by our board of directors (as applicable, the administrator), administers the 2023 Plan and the awards granted thereunder. Subject to the terms of the 2023 Plan, the administrator has the authority to, among other things, select the persons to whom awards will be granted, construe and interpret the 2023 Plan as well as to amend the terms of any outstanding award under the 2023 Plan, provided that any amendment that would adversely affect a participant’s rights under an outstanding award shall not be made without such participant’s written consent. The 2023 Plan provides that the board of directors may delegate the authority to grant awards under the 2023 Plan to one or more executive officers to the extent permitted by applicable law. </w:t>
      </w:r>
    </w:p>
    <w:p>
      <w:pPr>
        <w:pStyle w:val="TextBody"/>
        <w:bidi w:val="0"/>
        <w:spacing w:before="360" w:after="0"/>
        <w:jc w:val="left"/>
        <w:rPr>
          <w:rFonts w:ascii="Times New Roman" w:hAnsi="Times New Roman"/>
          <w:i/>
          <w:sz w:val="20"/>
        </w:rPr>
      </w:pPr>
      <w:r>
        <w:rPr>
          <w:rFonts w:ascii="Times New Roman" w:hAnsi="Times New Roman"/>
          <w:i/>
          <w:sz w:val="20"/>
        </w:rPr>
        <w:t xml:space="preserve">Eligibility </w:t>
      </w:r>
    </w:p>
    <w:p>
      <w:pPr>
        <w:pStyle w:val="TextBody"/>
        <w:bidi w:val="0"/>
        <w:spacing w:before="120" w:after="0"/>
        <w:jc w:val="both"/>
        <w:rPr>
          <w:rFonts w:ascii="Times New Roman" w:hAnsi="Times New Roman"/>
          <w:sz w:val="20"/>
        </w:rPr>
      </w:pPr>
      <w:r>
        <w:rPr>
          <w:rFonts w:ascii="Times New Roman" w:hAnsi="Times New Roman"/>
          <w:sz w:val="20"/>
        </w:rPr>
        <w:t xml:space="preserve">The 2023 Plan provides for the grant of both incentive stock options (ISOs), within the meaning of Section 422 of the U.S. Internal Revenue Code of 1986, as amended (the Code), and nonqualified stock options (NSOs), as well as for the issuance or awards of Restricted Stock Units (RSUs), Stock Appreciation Rights (SARs) and Restricted Stock Awards (each as defined in the 2023 Plan) or other stock-based awards. We may grant ISOs only to our employees. We may grant NSOs, RSUs, SARs, Restricted Stock, and other stock-based awards to our employees, outside directors and consultants. As of March 31, 2026, only stock options have been granted under the 2023 Plan. We refer to employees, outside directors or consultants who receive an award under our 2023 Plan as participants. </w:t>
      </w:r>
    </w:p>
    <w:p>
      <w:pPr>
        <w:pStyle w:val="TextBody"/>
        <w:bidi w:val="0"/>
        <w:spacing w:before="360" w:after="0"/>
        <w:jc w:val="left"/>
        <w:rPr>
          <w:rFonts w:ascii="Times New Roman" w:hAnsi="Times New Roman"/>
          <w:i/>
          <w:sz w:val="20"/>
        </w:rPr>
      </w:pPr>
      <w:r>
        <w:rPr>
          <w:rFonts w:ascii="Times New Roman" w:hAnsi="Times New Roman"/>
          <w:i/>
          <w:sz w:val="20"/>
        </w:rPr>
        <w:t xml:space="preserve">Options </w:t>
      </w:r>
    </w:p>
    <w:p>
      <w:pPr>
        <w:pStyle w:val="TextBody"/>
        <w:bidi w:val="0"/>
        <w:spacing w:before="120" w:after="0"/>
        <w:jc w:val="both"/>
        <w:rPr>
          <w:rFonts w:ascii="Times New Roman" w:hAnsi="Times New Roman"/>
          <w:sz w:val="20"/>
        </w:rPr>
      </w:pPr>
      <w:r>
        <w:rPr>
          <w:rFonts w:ascii="Times New Roman" w:hAnsi="Times New Roman"/>
          <w:sz w:val="20"/>
        </w:rPr>
        <w:t xml:space="preserve">The 2023 Plan provides for the grant of both (i) ISOs, intended to qualify for tax treatment under Section 422 of the Code, which may be granted only to employees and (ii) NSOs, which may be granted to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employees, outside directors and consultants, each at a stated exercise price and subject to certain vesting and other terms and conditions as set forth in the 2023 Plan. The 2023 Plan provides that the exercise price of options generally must be at least equal to the fair market value of our common stock on the date of grant. In addition, the exercise price of any ISO granted to a participant who owns more than 10% of the total combined voting power of all classes of our capital stock must be at least equal to 110% of the fair market value of our common stock on the date of grant. The maximum permitted term of options granted under our 2023 Plan is ten years from the date of grant, except that the maximum permitted term of ISOs granted to a participant who owns more than 10% of the total combined voting power of all classes of our capital stock is five years from the date of grant. Our 2023 Plan allows for the “early exercise” of stock option grants in the administrator’s discretion, subject to repurchase by the Company as set forth in the 2023 Plan. Options granted under the 2023 Plan vest at the rate and/or subject to performance requirements specified by the administrator and set forth in the award agreement governing the grant. After the participant ceases to provide services to us, he or she is able to exercise his or her vested option for the period of time stated in the governing award agreement. Generally, the vested option will remain exercisable for three months after a participant’s cessation of service, except in the case of termination due to death, disability or termination for cause. An option may not be exercised later than its expiration date. </w:t>
      </w:r>
    </w:p>
    <w:p>
      <w:pPr>
        <w:pStyle w:val="TextBody"/>
        <w:bidi w:val="0"/>
        <w:spacing w:before="360" w:after="0"/>
        <w:jc w:val="left"/>
        <w:rPr>
          <w:rFonts w:ascii="Times New Roman" w:hAnsi="Times New Roman"/>
          <w:i/>
          <w:sz w:val="20"/>
        </w:rPr>
      </w:pPr>
      <w:r>
        <w:rPr>
          <w:rFonts w:ascii="Times New Roman" w:hAnsi="Times New Roman"/>
          <w:i/>
          <w:sz w:val="20"/>
        </w:rPr>
        <w:t xml:space="preserve">Restricted Stock Awards and RSUs </w:t>
      </w:r>
    </w:p>
    <w:p>
      <w:pPr>
        <w:pStyle w:val="TextBody"/>
        <w:bidi w:val="0"/>
        <w:spacing w:before="120" w:after="0"/>
        <w:jc w:val="both"/>
        <w:rPr>
          <w:rFonts w:ascii="Times New Roman" w:hAnsi="Times New Roman"/>
          <w:sz w:val="20"/>
        </w:rPr>
      </w:pPr>
      <w:r>
        <w:rPr>
          <w:rFonts w:ascii="Times New Roman" w:hAnsi="Times New Roman"/>
          <w:sz w:val="20"/>
        </w:rPr>
        <w:t xml:space="preserve">The 2023 Plan provides for the grant of Restricted Stock Awards and RSUs, with terms as generally determined by the administrator (in accordance with the 2023 Plan) and to be set forth in an award agreement. A Restricted Stock Award is an offer by us to sell shares of our common stock subject to restrictions, which may lapse based on the satisfaction of service or achievement of performance conditions. The price, if any, of a Restricted Stock Award will be determined by the administrator. Holders of Restricted Stock Awards, unlike holders of options, will have the right to vote and any dividends or stock distributions paid pursuant to Restricted Stock Awards will be accrued and paid when the restrictions on such shares lapse. RSUs represent the right to receive shares of our common stock at a specified date in the future and may be subject to vesting based on service or achievement of performance conditions. No RSU will have a term longer than ten years from the date the RSU is granted. Vested RSUs may be settled in cash, shares of our common stock or a combination of both. </w:t>
      </w:r>
    </w:p>
    <w:p>
      <w:pPr>
        <w:pStyle w:val="TextBody"/>
        <w:bidi w:val="0"/>
        <w:spacing w:before="360" w:after="0"/>
        <w:jc w:val="left"/>
        <w:rPr>
          <w:rFonts w:ascii="Times New Roman" w:hAnsi="Times New Roman"/>
          <w:i/>
          <w:sz w:val="20"/>
        </w:rPr>
      </w:pPr>
      <w:r>
        <w:rPr>
          <w:rFonts w:ascii="Times New Roman" w:hAnsi="Times New Roman"/>
          <w:i/>
          <w:sz w:val="20"/>
        </w:rPr>
        <w:t xml:space="preserve">Stock Appreciation Rights </w:t>
      </w:r>
    </w:p>
    <w:p>
      <w:pPr>
        <w:pStyle w:val="TextBody"/>
        <w:bidi w:val="0"/>
        <w:spacing w:before="120" w:after="0"/>
        <w:jc w:val="both"/>
        <w:rPr>
          <w:rFonts w:ascii="Times New Roman" w:hAnsi="Times New Roman"/>
          <w:sz w:val="20"/>
        </w:rPr>
      </w:pPr>
      <w:r>
        <w:rPr>
          <w:rFonts w:ascii="Times New Roman" w:hAnsi="Times New Roman"/>
          <w:sz w:val="20"/>
        </w:rPr>
        <w:t xml:space="preserve">The 2023 Plan provides for the grant of SARs at a stated exercise price, which shall be at least equal to the fair market value of our common stock on the date of grant. A SAR provides for a payment, in cash or shares of our common stock, to the participant based upon the difference between the fair market value of our common stock on the date of exercise and the exercise price, multiplied by the number of shares. The maximum permitted term of SARs granted under the 2023 Plan is ten years from the date of grant. SARs granted under the 2023 Plan vest at the rate and/or subject to performance requirements specified by the administrator and set forth in the SAR agreement governing the grant. After the participant ceases to provide services to us, he or she is able to exercise his or her vested SAR for the period of time stated in the governing SAR agreement. Generally, the vested SARs will remain exercisable for three months after a participant’s cessation of service, except in the case of termination due to death, disability or termination for cause. A SAR may not be exercised later than its expiration date. </w:t>
      </w:r>
    </w:p>
    <w:p>
      <w:pPr>
        <w:pStyle w:val="TextBody"/>
        <w:bidi w:val="0"/>
        <w:spacing w:before="360" w:after="0"/>
        <w:jc w:val="left"/>
        <w:rPr>
          <w:rFonts w:ascii="Times New Roman" w:hAnsi="Times New Roman"/>
          <w:i/>
          <w:sz w:val="20"/>
        </w:rPr>
      </w:pPr>
      <w:r>
        <w:rPr>
          <w:rFonts w:ascii="Times New Roman" w:hAnsi="Times New Roman"/>
          <w:i/>
          <w:sz w:val="20"/>
        </w:rPr>
        <w:t xml:space="preserve">Limited Transferability </w:t>
      </w:r>
    </w:p>
    <w:p>
      <w:pPr>
        <w:pStyle w:val="TextBody"/>
        <w:bidi w:val="0"/>
        <w:spacing w:before="120" w:after="0"/>
        <w:jc w:val="both"/>
        <w:rPr>
          <w:rFonts w:ascii="Times New Roman" w:hAnsi="Times New Roman"/>
          <w:sz w:val="20"/>
        </w:rPr>
      </w:pPr>
      <w:r>
        <w:rPr>
          <w:rFonts w:ascii="Times New Roman" w:hAnsi="Times New Roman"/>
          <w:sz w:val="20"/>
        </w:rPr>
        <w:t xml:space="preserve">Except in limited circumstances, awards granted under our 2023 Plan may generally not be transferred in any manner prior to vesting other than by will or by the laws of descent and distribution. </w:t>
      </w:r>
    </w:p>
    <w:p>
      <w:pPr>
        <w:pStyle w:val="TextBody"/>
        <w:bidi w:val="0"/>
        <w:spacing w:before="360" w:after="0"/>
        <w:jc w:val="left"/>
        <w:rPr>
          <w:rFonts w:ascii="Times New Roman" w:hAnsi="Times New Roman"/>
          <w:i/>
          <w:sz w:val="20"/>
        </w:rPr>
      </w:pPr>
      <w:r>
        <w:rPr>
          <w:rFonts w:ascii="Times New Roman" w:hAnsi="Times New Roman"/>
          <w:i/>
          <w:sz w:val="20"/>
        </w:rPr>
        <w:t xml:space="preserve">Change in Control </w:t>
      </w:r>
    </w:p>
    <w:p>
      <w:pPr>
        <w:pStyle w:val="TextBody"/>
        <w:bidi w:val="0"/>
        <w:spacing w:before="120" w:after="0"/>
        <w:jc w:val="both"/>
        <w:rPr>
          <w:rFonts w:ascii="Times New Roman" w:hAnsi="Times New Roman"/>
          <w:sz w:val="20"/>
        </w:rPr>
      </w:pPr>
      <w:r>
        <w:rPr>
          <w:rFonts w:ascii="Times New Roman" w:hAnsi="Times New Roman"/>
          <w:sz w:val="20"/>
        </w:rPr>
        <w:t xml:space="preserve">In the event of an Acquisition or Other Combination (as such terms are defined in the 2023 Plan), outstanding awards shall be treated as provided under the agreement evidencing such transaction, which need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treat all outstanding awards in an identical manner, in each case without the participant’s consent. Subject to compliance with applicable law, such agreement shall provide for one or more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continuation of the outstanding awards by us, if we are a surviving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assumption, in whole or in part, of the outstanding awards by the surviving corporation or a successor entity or its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substitution, in whole or in part, by the surviving corporation or a successor entity or its parent of its own, substantially similar awards for such outstanding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full or partial exercisability or vesting and accelerated expiration of outstanding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settlement of the fair market value of the outstanding awards (whether or not then vested or exercisable) under the terms of the award agreement, with payment made in cash or cash equivalents or securities of the successor entity (subject to vesting and/or deferred delivery consistent with the vesting restrictions applicable to such awards or the underlying shares, as permitted by law)followed by the cancellation of such awards, provided that such awards may be terminated without payment if determined by our board of directors in good faith to have no value at such time;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termination without payment of any consideration.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Modification, Extension and Renewal of Options </w:t>
      </w:r>
    </w:p>
    <w:p>
      <w:pPr>
        <w:pStyle w:val="TextBody"/>
        <w:bidi w:val="0"/>
        <w:spacing w:before="120" w:after="0"/>
        <w:jc w:val="both"/>
        <w:rPr>
          <w:rFonts w:ascii="Times New Roman" w:hAnsi="Times New Roman"/>
          <w:sz w:val="20"/>
        </w:rPr>
      </w:pPr>
      <w:r>
        <w:rPr>
          <w:rFonts w:ascii="Times New Roman" w:hAnsi="Times New Roman"/>
          <w:sz w:val="20"/>
        </w:rPr>
        <w:t xml:space="preserve">The administrator may modify, extend or renew outstanding stock options or may accept the cancellation of outstanding stock options (to the extent not previously exercised) in return for the grant of new stock options. With the consent of the respective participants, new awards may be issued in exchange for the surrender and cancellation of any or all outstanding awards. Without prior stockholder approval, the administrator may reprice options or SARs (and where such repricing is a reduction in the exercise price, the consent of the affected participants is not required provided written notice is provided to them). The administrator may at any time buy from a participant an award previously granted with payment in cash, shares (including restricted stock) or other consideration, based on such terms and conditions as the administrator and the participant may agree. </w:t>
      </w:r>
    </w:p>
    <w:p>
      <w:pPr>
        <w:pStyle w:val="TextBody"/>
        <w:bidi w:val="0"/>
        <w:spacing w:before="360" w:after="0"/>
        <w:jc w:val="left"/>
        <w:rPr>
          <w:rFonts w:ascii="Times New Roman" w:hAnsi="Times New Roman"/>
          <w:i/>
          <w:sz w:val="20"/>
        </w:rPr>
      </w:pPr>
      <w:r>
        <w:rPr>
          <w:rFonts w:ascii="Times New Roman" w:hAnsi="Times New Roman"/>
          <w:i/>
          <w:sz w:val="20"/>
        </w:rPr>
        <w:t xml:space="preserve">Adjustments </w:t>
      </w:r>
    </w:p>
    <w:p>
      <w:pPr>
        <w:pStyle w:val="TextBody"/>
        <w:bidi w:val="0"/>
        <w:spacing w:before="120" w:after="0"/>
        <w:jc w:val="both"/>
        <w:rPr>
          <w:rFonts w:ascii="Times New Roman" w:hAnsi="Times New Roman"/>
          <w:sz w:val="20"/>
        </w:rPr>
      </w:pPr>
      <w:r>
        <w:rPr>
          <w:rFonts w:ascii="Times New Roman" w:hAnsi="Times New Roman"/>
          <w:sz w:val="20"/>
        </w:rPr>
        <w:t xml:space="preserve">In the event our common stock is changed by a stock dividend, recapitalization, stock split, reverse stock split, subdivision, combination, reclassification or other change in the capital structure of the company affecting shares without consideration, then in order to prevent diminution or enlargement of the benefits or potential benefits intended to be made available under the 2023 Plan, then (a) the number and class of shares reserved for issuance under the 2023 Plan, (b) the exercise prices of and number and class of shares subject to outstanding options and SARs, and (c) the purchase prices of and/or number and class of shares subject to other outstanding awards will (to the extent appropriate) be proportionately adjusted, subject to any required action by the board of directors or the stockholders of the company and compliance with applicable securities or other laws; provided, however, that fractions of a share will not be issued but will either be paid in cash at the fair market value of such fraction of a share or will be rounded down to the nearest whole share, as determined by our board of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Amendment; Termination </w:t>
      </w:r>
    </w:p>
    <w:p>
      <w:pPr>
        <w:pStyle w:val="TextBody"/>
        <w:bidi w:val="0"/>
        <w:spacing w:before="120" w:after="0"/>
        <w:jc w:val="both"/>
        <w:rPr>
          <w:rFonts w:ascii="Times New Roman" w:hAnsi="Times New Roman"/>
          <w:sz w:val="20"/>
        </w:rPr>
      </w:pPr>
      <w:r>
        <w:rPr>
          <w:rFonts w:ascii="Times New Roman" w:hAnsi="Times New Roman"/>
          <w:sz w:val="20"/>
        </w:rPr>
        <w:t xml:space="preserve">The administrator may amend, suspend or terminate the 2023 Plan at any time. The administrator may terminate any and all outstanding options, SARs or RSUs upon our dissolution or liquidation, followed by the payment of creditors and the distribution of any remaining funds to our stockholders. An amendment of the 2023 Plan shall not be subject to the approval of our stockholders unless it requires such stockholder approval pursuant to Section 25102(o) or pursuant to the Code or the regulations promulgated under the Code as such provisions apply to ISO plans.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2026 Equity Incentive Plan </w:t>
      </w:r>
    </w:p>
    <w:p>
      <w:pPr>
        <w:pStyle w:val="TextBody"/>
        <w:bidi w:val="0"/>
        <w:spacing w:before="120" w:after="0"/>
        <w:jc w:val="both"/>
        <w:rPr>
          <w:rFonts w:ascii="Times New Roman" w:hAnsi="Times New Roman"/>
          <w:sz w:val="20"/>
        </w:rPr>
      </w:pPr>
      <w:r>
        <w:rPr>
          <w:rFonts w:ascii="Times New Roman" w:hAnsi="Times New Roman"/>
          <w:sz w:val="20"/>
        </w:rPr>
        <w:t xml:space="preserve">We have adopted our 2026 Plan that will become effective on the day prior to the date of the effectiveness of the registration statement for which this prospectus will form a part and will serve as the successor to our 2023 Plan. Our 2026 Plan authorizes the award of ISOs, NSOs, RSAs, SARs, RSUs, performance awards, which may include cash-based awards, and stock bonus awards. We have initially reserved 4,900,000 shares of our common stock, plus any reserved shares not issued or subject to outstanding grants under the 2023 Plan on the effective date of the 2026 Plan, for issuance pursuant to awards granted under our 2026 Plan. </w:t>
      </w:r>
    </w:p>
    <w:p>
      <w:pPr>
        <w:pStyle w:val="TextBody"/>
        <w:bidi w:val="0"/>
        <w:spacing w:before="240" w:after="0"/>
        <w:jc w:val="both"/>
        <w:rPr>
          <w:rFonts w:ascii="Times New Roman" w:hAnsi="Times New Roman"/>
          <w:sz w:val="20"/>
        </w:rPr>
      </w:pPr>
      <w:r>
        <w:rPr>
          <w:rFonts w:ascii="Times New Roman" w:hAnsi="Times New Roman"/>
          <w:sz w:val="20"/>
        </w:rPr>
        <w:t xml:space="preserve">The number of shares reserved for issuance under our 2026 Plan will increase automatically on January 1 of each of 2027 through 2036 by the number of shares equal to the </w:t>
      </w:r>
      <w:r>
        <w:rPr>
          <w:rFonts w:ascii="Times New Roman" w:hAnsi="Times New Roman"/>
          <w:i/>
          <w:sz w:val="20"/>
        </w:rPr>
        <w:t>lesser of</w:t>
      </w:r>
      <w:r>
        <w:rPr>
          <w:rFonts w:ascii="Times New Roman" w:hAnsi="Times New Roman"/>
          <w:sz w:val="20"/>
        </w:rPr>
        <w:t xml:space="preserve"> 5% of the sum of the total number of shares of all classes of our common stock, plus the total number of shares of our common stock issuable upon conversion of any preferred stock (if any) and the total number of shares of our common stock subject to any pre-funded warrants, as issued and outstanding as of the immediately preceding December 31 (rounded down to the nearest whole share), or a number as may be determined by our board of directors or our Committee (as defined in our 2026 Plan). </w:t>
      </w:r>
    </w:p>
    <w:p>
      <w:pPr>
        <w:pStyle w:val="TextBody"/>
        <w:bidi w:val="0"/>
        <w:spacing w:before="240" w:after="0"/>
        <w:jc w:val="both"/>
        <w:rPr>
          <w:rFonts w:ascii="Times New Roman" w:hAnsi="Times New Roman"/>
          <w:sz w:val="20"/>
        </w:rPr>
      </w:pPr>
      <w:r>
        <w:rPr>
          <w:rFonts w:ascii="Times New Roman" w:hAnsi="Times New Roman"/>
          <w:sz w:val="20"/>
        </w:rPr>
        <w:t xml:space="preserve">In addition, the following shares will again be available for issuance pursuant to awards granted under our 2026 Plan: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shares subject to options or SARs granted under our 2026 Plan that cease to be subject to the option or SAR for any reason other than exercise of the option or SAR;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shares subject to awards granted under our 2026 Plan that are subsequently forfeited or repurchased by us at the original issue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shares subject to awards granted under our 2026 Plan that otherwise terminate without such shares being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shares subject to awards granted under our 2026 Plan that are surrendered pursuant to an “exchange program” (as defined in our 2026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shares subject to awards granted under our 2023 Plan that cease to be subject to such awards, by forfeiture or otherwise, after the termination of the 2023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shares subject to awards granted under our 2023 Plan that are repurchased by us at the original price after the termination of the 2023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shares subject to awards granted under either our 2023 Plan or our 2026 Plan that are used to pay the exercise price of an award, as applicable, or withheld to satisfy the tax withholding obligations related to any award.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Administration </w:t>
      </w:r>
    </w:p>
    <w:p>
      <w:pPr>
        <w:pStyle w:val="TextBody"/>
        <w:bidi w:val="0"/>
        <w:spacing w:before="120" w:after="0"/>
        <w:jc w:val="both"/>
        <w:rPr>
          <w:rFonts w:ascii="Times New Roman" w:hAnsi="Times New Roman"/>
          <w:sz w:val="20"/>
        </w:rPr>
      </w:pPr>
      <w:r>
        <w:rPr>
          <w:rFonts w:ascii="Times New Roman" w:hAnsi="Times New Roman"/>
          <w:sz w:val="20"/>
        </w:rPr>
        <w:t xml:space="preserve">Our 2026 Plan is expected to be administered by our Committee, all of the members of which are outside directors as defined under applicable law, or by our board of directors acting in place of our Committee. Subject to the terms and conditions of the 2026 Plan, the Committee will have the authority, among other things, to select the persons to whom awards may be granted, construe and interpret our 2026 Plan as well as to determine the terms of such awards and prescribe, amend and rescind the rules and regulations relating to the 2026 Plan or any award granted thereunder. Our 2026 Plan provides that our board of directors or our Committee may delegate its authority, including the authority to grant awards, to one or more executive officers to the extent permitted by applicable law, provided that awards granted to non-employee directors may only be determined by our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Eligibility; Types of Awards </w:t>
      </w:r>
    </w:p>
    <w:p>
      <w:pPr>
        <w:pStyle w:val="TextBody"/>
        <w:bidi w:val="0"/>
        <w:spacing w:before="120" w:after="0"/>
        <w:jc w:val="both"/>
        <w:rPr>
          <w:rFonts w:ascii="Times New Roman" w:hAnsi="Times New Roman"/>
          <w:sz w:val="20"/>
        </w:rPr>
      </w:pPr>
      <w:r>
        <w:rPr>
          <w:rFonts w:ascii="Times New Roman" w:hAnsi="Times New Roman"/>
          <w:sz w:val="20"/>
        </w:rPr>
        <w:t xml:space="preserve">Our 2026 Plan provides for the grant of awards described below to our employees, directors, consultants, independent contractors and advisors. Pursuant to the 2026 Plan, ISOs may be granted only to our employees. We may grant all other types of awards to our employees, directors and consultants. </w:t>
      </w:r>
    </w:p>
    <w:p>
      <w:pPr>
        <w:pStyle w:val="TextBody"/>
        <w:bidi w:val="0"/>
        <w:spacing w:before="360" w:after="0"/>
        <w:jc w:val="left"/>
        <w:rPr>
          <w:rFonts w:ascii="Times New Roman" w:hAnsi="Times New Roman"/>
          <w:i/>
          <w:sz w:val="20"/>
        </w:rPr>
      </w:pPr>
      <w:r>
        <w:rPr>
          <w:rFonts w:ascii="Times New Roman" w:hAnsi="Times New Roman"/>
          <w:i/>
          <w:sz w:val="20"/>
        </w:rPr>
        <w:t xml:space="preserve">Options </w:t>
      </w:r>
    </w:p>
    <w:p>
      <w:pPr>
        <w:pStyle w:val="TextBody"/>
        <w:bidi w:val="0"/>
        <w:spacing w:before="120" w:after="0"/>
        <w:jc w:val="both"/>
        <w:rPr>
          <w:rFonts w:ascii="Times New Roman" w:hAnsi="Times New Roman"/>
          <w:sz w:val="20"/>
        </w:rPr>
      </w:pPr>
      <w:r>
        <w:rPr>
          <w:rFonts w:ascii="Times New Roman" w:hAnsi="Times New Roman"/>
          <w:sz w:val="20"/>
        </w:rPr>
        <w:t xml:space="preserve">The 2026 Plan provides for the grant of ISOs and NSOs. ISOs may be granted only to our employees or employees of our parent, subsidiaries and affiliates. NSOs may be granted to eligible employees, consultants and directors or any of the foregoing of our parent, subsidiaries or affiliates. We are able to issue no more than 24,500,000 shares pursuant to the grant of ISOs under the 2026 Plan. The Committee determines the terms of each option award, provided that ISOs are subject to statutory limitations. The Committee also determines the exercise price for an option, provided that the exercise price of an option may not be less than the fair market value of our common stock on the date of grant (with certain additional requirements for certain ISOs). </w:t>
      </w:r>
    </w:p>
    <w:p>
      <w:pPr>
        <w:pStyle w:val="TextBody"/>
        <w:bidi w:val="0"/>
        <w:spacing w:before="240" w:after="0"/>
        <w:jc w:val="both"/>
        <w:rPr>
          <w:rFonts w:ascii="Times New Roman" w:hAnsi="Times New Roman"/>
          <w:sz w:val="20"/>
        </w:rPr>
      </w:pPr>
      <w:r>
        <w:rPr>
          <w:rFonts w:ascii="Times New Roman" w:hAnsi="Times New Roman"/>
          <w:sz w:val="20"/>
        </w:rPr>
        <w:t xml:space="preserve">Options granted under the 2026 Plan vest at the rate and/or subject to performance requirements specified by the Committee and set forth in the award agreement governing the grant. The Committee determines the term of options granted under the 2026 Plan, up to a term of 10 years (with certain additional requirements for certain ISOs). </w:t>
      </w:r>
    </w:p>
    <w:p>
      <w:pPr>
        <w:pStyle w:val="TextBody"/>
        <w:bidi w:val="0"/>
        <w:spacing w:before="240" w:after="0"/>
        <w:jc w:val="both"/>
        <w:rPr>
          <w:rFonts w:ascii="Times New Roman" w:hAnsi="Times New Roman"/>
          <w:sz w:val="20"/>
        </w:rPr>
      </w:pPr>
      <w:r>
        <w:rPr>
          <w:rFonts w:ascii="Times New Roman" w:hAnsi="Times New Roman"/>
          <w:sz w:val="20"/>
        </w:rPr>
        <w:t xml:space="preserve">After the participant ceases to provide services to us, he or she is able to exercise his or her vested option for the period of time stated in the governing award agreement. Generally, the vested option will remain exercisable for three months after a participant’s cessation of service, except in the case of termination due to death, disability or termination for cause. An option may not be exercised later than its expiration date. </w:t>
      </w:r>
    </w:p>
    <w:p>
      <w:pPr>
        <w:pStyle w:val="TextBody"/>
        <w:bidi w:val="0"/>
        <w:spacing w:before="360" w:after="0"/>
        <w:jc w:val="left"/>
        <w:rPr>
          <w:rFonts w:ascii="Times New Roman" w:hAnsi="Times New Roman"/>
          <w:i/>
          <w:sz w:val="20"/>
        </w:rPr>
      </w:pPr>
      <w:r>
        <w:rPr>
          <w:rFonts w:ascii="Times New Roman" w:hAnsi="Times New Roman"/>
          <w:i/>
          <w:sz w:val="20"/>
        </w:rPr>
        <w:t xml:space="preserve">Restricted Stock Awards </w:t>
      </w:r>
    </w:p>
    <w:p>
      <w:pPr>
        <w:pStyle w:val="TextBody"/>
        <w:bidi w:val="0"/>
        <w:spacing w:before="120" w:after="0"/>
        <w:jc w:val="both"/>
        <w:rPr>
          <w:rFonts w:ascii="Times New Roman" w:hAnsi="Times New Roman"/>
          <w:sz w:val="20"/>
        </w:rPr>
      </w:pPr>
      <w:r>
        <w:rPr>
          <w:rFonts w:ascii="Times New Roman" w:hAnsi="Times New Roman"/>
          <w:sz w:val="20"/>
        </w:rPr>
        <w:t xml:space="preserve">An RSA is an offer by us to sell shares of our common stock subject to restrictions that the Committee may impose. These restrictions may be based on the completion of a specified period of service with us or upon the achievement of performance goals during a performance period. The Committee determines the price of an RSA. Unless otherwise determined by the Committee, vesting will cease on the date the participant no longer provides services to us and unvested RSAs may be forfeited to us or subject to repurchase by us. </w:t>
      </w:r>
    </w:p>
    <w:p>
      <w:pPr>
        <w:pStyle w:val="TextBody"/>
        <w:bidi w:val="0"/>
        <w:spacing w:before="360" w:after="0"/>
        <w:jc w:val="left"/>
        <w:rPr>
          <w:rFonts w:ascii="Times New Roman" w:hAnsi="Times New Roman"/>
          <w:i/>
          <w:sz w:val="20"/>
        </w:rPr>
      </w:pPr>
      <w:r>
        <w:rPr>
          <w:rFonts w:ascii="Times New Roman" w:hAnsi="Times New Roman"/>
          <w:i/>
          <w:sz w:val="20"/>
        </w:rPr>
        <w:t xml:space="preserve">Stock Appreciation Rights </w:t>
      </w:r>
    </w:p>
    <w:p>
      <w:pPr>
        <w:pStyle w:val="TextBody"/>
        <w:bidi w:val="0"/>
        <w:spacing w:before="120" w:after="0"/>
        <w:jc w:val="both"/>
        <w:rPr>
          <w:rFonts w:ascii="Times New Roman" w:hAnsi="Times New Roman"/>
          <w:sz w:val="20"/>
        </w:rPr>
      </w:pPr>
      <w:r>
        <w:rPr>
          <w:rFonts w:ascii="Times New Roman" w:hAnsi="Times New Roman"/>
          <w:sz w:val="20"/>
        </w:rPr>
        <w:t xml:space="preserve">A SAR provides for a payment, in cash or shares of our common stock (up to a specified maximum of shares, if determined by our Committee), to the participant based upon the difference between the fair market value of our common stock on the date of exercise and a predetermined exercise price, multiplied by the number of shares. The exercise price of a SAR must be at least the fair market value of a share of our common stock on the date of grant. SARs granted under the 2026 Plan vest at the rate and/or subject to performance requirements specified by the Committee and set forth in the award agreement governing the grant. The Committee determines the term of SARs granted under the 2026 Plan, up to a term of 10 years. After the participant ceases to provide services to us, he or she is able to exercise his or her vested SARs for the period of time stated in the governing award agreement. Generally, the vested SARs will remain exercisable for three months after a participant’s cessation of service, except in the case of termination due to death, disability or termination for cause. A SAR may not be exercised later than its expiration date. </w:t>
      </w:r>
    </w:p>
    <w:p>
      <w:pPr>
        <w:pStyle w:val="TextBody"/>
        <w:bidi w:val="0"/>
        <w:spacing w:before="360" w:after="0"/>
        <w:jc w:val="left"/>
        <w:rPr>
          <w:rFonts w:ascii="Times New Roman" w:hAnsi="Times New Roman"/>
          <w:i/>
          <w:sz w:val="20"/>
        </w:rPr>
      </w:pPr>
      <w:r>
        <w:rPr>
          <w:rFonts w:ascii="Times New Roman" w:hAnsi="Times New Roman"/>
          <w:i/>
          <w:sz w:val="20"/>
        </w:rPr>
        <w:t xml:space="preserve">Restricted Stock Units </w:t>
      </w:r>
    </w:p>
    <w:p>
      <w:pPr>
        <w:pStyle w:val="TextBody"/>
        <w:bidi w:val="0"/>
        <w:spacing w:before="120" w:after="0"/>
        <w:jc w:val="both"/>
        <w:rPr>
          <w:rFonts w:ascii="Times New Roman" w:hAnsi="Times New Roman"/>
          <w:sz w:val="20"/>
        </w:rPr>
      </w:pPr>
      <w:r>
        <w:rPr>
          <w:rFonts w:ascii="Times New Roman" w:hAnsi="Times New Roman"/>
          <w:sz w:val="20"/>
        </w:rPr>
        <w:t xml:space="preserve">RSUs represent the right to receive shares of our common stock at a specified date in the future. RSUs granted under the 2026 Plan vest at the rate and/or subject to performance requirements specified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Committee and set forth in the award agreement governing the grant. The Committee determines the term of RSUs granted under the 2026 Plan, up to a term of 10 years. Generally, RSUs cease vesting on the date the participant ceases to provide services to us. Vested RSUs are settled in shares of our common stock, cash or a combination of our common stock and cash as specified in the applicable award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Performance Awards </w:t>
      </w:r>
    </w:p>
    <w:p>
      <w:pPr>
        <w:pStyle w:val="TextBody"/>
        <w:bidi w:val="0"/>
        <w:spacing w:before="120" w:after="0"/>
        <w:jc w:val="both"/>
        <w:rPr>
          <w:rFonts w:ascii="Times New Roman" w:hAnsi="Times New Roman"/>
          <w:sz w:val="20"/>
        </w:rPr>
      </w:pPr>
      <w:r>
        <w:rPr>
          <w:rFonts w:ascii="Times New Roman" w:hAnsi="Times New Roman"/>
          <w:sz w:val="20"/>
        </w:rPr>
        <w:t xml:space="preserve">A performance award is an award that is based upon the attainment of performance goals, as established by the Committee, and other terms and conditions specified by the Committee, and may be settled in cash, shares (which may consist of, without limitation, restricted stock), other property, or any combination thereof. Performance awards are subject to forfeiture because of termination of employment or failure to achieve the performance conditions. </w:t>
      </w:r>
    </w:p>
    <w:p>
      <w:pPr>
        <w:pStyle w:val="TextBody"/>
        <w:bidi w:val="0"/>
        <w:spacing w:before="360" w:after="0"/>
        <w:jc w:val="left"/>
        <w:rPr>
          <w:rFonts w:ascii="Times New Roman" w:hAnsi="Times New Roman"/>
          <w:i/>
          <w:sz w:val="20"/>
        </w:rPr>
      </w:pPr>
      <w:r>
        <w:rPr>
          <w:rFonts w:ascii="Times New Roman" w:hAnsi="Times New Roman"/>
          <w:i/>
          <w:sz w:val="20"/>
        </w:rPr>
        <w:t xml:space="preserve">Stock Bonus Awards </w:t>
      </w:r>
    </w:p>
    <w:p>
      <w:pPr>
        <w:pStyle w:val="TextBody"/>
        <w:bidi w:val="0"/>
        <w:spacing w:before="120" w:after="0"/>
        <w:jc w:val="both"/>
        <w:rPr>
          <w:rFonts w:ascii="Times New Roman" w:hAnsi="Times New Roman"/>
          <w:sz w:val="20"/>
        </w:rPr>
      </w:pPr>
      <w:r>
        <w:rPr>
          <w:rFonts w:ascii="Times New Roman" w:hAnsi="Times New Roman"/>
          <w:sz w:val="20"/>
        </w:rPr>
        <w:t xml:space="preserve">A stock bonus is an award of shares of our common stock for past or future services to us. No payment from the participant is required. The Committee determines the number of shares to be issued as a stock bonus and any restrictions on those shares. These restrictions may be based on completion of a specified period of service with us or upon the achievement of performance goals during a performance period. Unless otherwise set forth in the award agreement, vesting ceases on the date the participant no longer provides services to us, and at that time unvested shares will be forfeited to us or are subject to repurchase by us. A stock bonus award provides for payment in the form of cash, shares of our common stock or a combination thereof, based on the fair market value of shares subject to such award as determined by our Committee. </w:t>
      </w:r>
    </w:p>
    <w:p>
      <w:pPr>
        <w:pStyle w:val="TextBody"/>
        <w:bidi w:val="0"/>
        <w:spacing w:before="360" w:after="0"/>
        <w:jc w:val="left"/>
        <w:rPr>
          <w:rFonts w:ascii="Times New Roman" w:hAnsi="Times New Roman"/>
          <w:i/>
          <w:sz w:val="20"/>
        </w:rPr>
      </w:pPr>
      <w:r>
        <w:rPr>
          <w:rFonts w:ascii="Times New Roman" w:hAnsi="Times New Roman"/>
          <w:i/>
          <w:sz w:val="20"/>
        </w:rPr>
        <w:t xml:space="preserve">Dividend Equivalents Rights </w:t>
      </w:r>
    </w:p>
    <w:p>
      <w:pPr>
        <w:pStyle w:val="TextBody"/>
        <w:bidi w:val="0"/>
        <w:spacing w:before="120" w:after="0"/>
        <w:jc w:val="both"/>
        <w:rPr>
          <w:rFonts w:ascii="Times New Roman" w:hAnsi="Times New Roman"/>
          <w:sz w:val="20"/>
        </w:rPr>
      </w:pPr>
      <w:r>
        <w:rPr>
          <w:rFonts w:ascii="Times New Roman" w:hAnsi="Times New Roman"/>
          <w:sz w:val="20"/>
        </w:rPr>
        <w:t xml:space="preserve">Dividend equivalent rights may be granted at the discretion of our Committee and represent the right to receive the value of dividends, if any, paid by us in respect of the number of shares of our common stock underlying an award. Dividend equivalent rights will be subject to the same vesting or performance conditions as the underlying award and will be paid only at such time as the underlying award has become fully vested. Dividend equivalent rights may be settled in cash, shares or other property, or a combination of thereof as determined by our Committee. No dividend equivalent rights will be paid in respect of options or SARs. </w:t>
      </w:r>
    </w:p>
    <w:p>
      <w:pPr>
        <w:pStyle w:val="TextBody"/>
        <w:bidi w:val="0"/>
        <w:spacing w:before="360" w:after="0"/>
        <w:jc w:val="left"/>
        <w:rPr>
          <w:rFonts w:ascii="Times New Roman" w:hAnsi="Times New Roman"/>
          <w:i/>
          <w:sz w:val="20"/>
        </w:rPr>
      </w:pPr>
      <w:r>
        <w:rPr>
          <w:rFonts w:ascii="Times New Roman" w:hAnsi="Times New Roman"/>
          <w:i/>
          <w:sz w:val="20"/>
        </w:rPr>
        <w:t xml:space="preserve">Change of Control </w:t>
      </w:r>
    </w:p>
    <w:p>
      <w:pPr>
        <w:pStyle w:val="TextBody"/>
        <w:bidi w:val="0"/>
        <w:spacing w:before="120" w:after="0"/>
        <w:jc w:val="both"/>
        <w:rPr>
          <w:rFonts w:ascii="Times New Roman" w:hAnsi="Times New Roman"/>
          <w:sz w:val="20"/>
        </w:rPr>
      </w:pPr>
      <w:r>
        <w:rPr>
          <w:rFonts w:ascii="Times New Roman" w:hAnsi="Times New Roman"/>
          <w:sz w:val="20"/>
        </w:rPr>
        <w:t xml:space="preserve">Our 2026 Plan provides that, in the event of a Corporate Transaction (as defined in the 2026 Plan), outstanding awards under the 2026 Plan shall be subject to the agreement evidencing the corporate transaction, which need not treat all outstanding awards in an identical manner. Any or all outstanding awards (a) may be continued by the company, if we are the successor entity; (b) may be assumed or substituted by the successor corporation, or a parent or subsidiary of the successor corporation, for substantially equivalent awards (including, but not limited to, an award to acquire the same consideration paid to our stockholders pursuant to the corporate transaction), in each case after taking into account appropriate adjustments for the number and kind of shares and exercise prices pursuant to Section 424(a) of the Code and/or Section 409A of the Code, as applicable; (c) may be made immediately vested (and exercisable, as applicable) and settled (as applicable), in whole or in part, followed by the cancellation of such awards upon or immediately prior to the effectiveness of such transaction; or (d) may be settled for their intrinsic value (whether or not then vested or exercisable) in cash, cash equivalents, or equity (including cash or equity subject to deferred vesting and delivery consistent with vesting restrictions applicable to such awards or the underlying shares) followed by the cancellation of such awards; provided, however, that such awards may be terminated without payment if, as of the date of the Corporate Transaction, our Committee determines in good faith that no amount would have been attained upon the exercise of such award or realization of the participant’s rights, in each case without the participant’s consent. The successor corporation may also issue, as replacement of our outstanding shares held by a participant, substantially similar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shares or other property subject to repurchase restrictions no less favorable to the participant. In the event such successor corporation refuses to continue, assume, substitute, settle or replace any award in accordance with the 2026 Plan, then notwithstanding any other provision in the 2026 Plan to the contrary, each such award shall become fully vested and, as applicable, exercisable and any rights of repurchase or forfeiture restrictions thereon will lapse, immediately prior to the consummation of the corporate transaction. Performance awards not continued, assumed, substituted, settled or replaced pursuant to the foregoing shall be deemed earned and vested at 100% of target level, unless otherwise indicated pursuant to the terms and conditions of the applicable award agreement. </w:t>
      </w:r>
    </w:p>
    <w:p>
      <w:pPr>
        <w:pStyle w:val="TextBody"/>
        <w:bidi w:val="0"/>
        <w:spacing w:before="240" w:after="0"/>
        <w:jc w:val="both"/>
        <w:rPr>
          <w:rFonts w:ascii="Times New Roman" w:hAnsi="Times New Roman"/>
          <w:sz w:val="20"/>
        </w:rPr>
      </w:pPr>
      <w:r>
        <w:rPr>
          <w:rFonts w:ascii="Times New Roman" w:hAnsi="Times New Roman"/>
          <w:sz w:val="20"/>
        </w:rPr>
        <w:t xml:space="preserve">If an award vests in lieu of assumption or substitution in connection with a corporate transaction as provided above, the Committee will notify the participant in writing or electronically that such award will be exercisable for a period of time determined by the Committee, in its sole discretion, and such award will terminate upon the expiration of such period without consideration. Any determinations by the Committee need not treat all outstanding awards in an identical manner, and shall be final and binding on each applicable participant. </w:t>
      </w:r>
    </w:p>
    <w:p>
      <w:pPr>
        <w:pStyle w:val="TextBody"/>
        <w:bidi w:val="0"/>
        <w:spacing w:before="240" w:after="0"/>
        <w:jc w:val="both"/>
        <w:rPr>
          <w:rFonts w:ascii="Times New Roman" w:hAnsi="Times New Roman"/>
          <w:sz w:val="20"/>
        </w:rPr>
      </w:pPr>
      <w:r>
        <w:rPr>
          <w:rFonts w:ascii="Times New Roman" w:hAnsi="Times New Roman"/>
          <w:sz w:val="20"/>
        </w:rPr>
        <w:t xml:space="preserve">The vesting of all awards granted to our non-employee directors under our 2026 Plan will accelerate and such awards will become exercisable (as applicable) in full prior to the consummation of the corporate transaction at such times and on such conditions as our Committee determines. </w:t>
      </w:r>
    </w:p>
    <w:p>
      <w:pPr>
        <w:pStyle w:val="TextBody"/>
        <w:bidi w:val="0"/>
        <w:spacing w:before="360" w:after="0"/>
        <w:jc w:val="left"/>
        <w:rPr>
          <w:rFonts w:ascii="Times New Roman" w:hAnsi="Times New Roman"/>
          <w:i/>
          <w:sz w:val="20"/>
        </w:rPr>
      </w:pPr>
      <w:r>
        <w:rPr>
          <w:rFonts w:ascii="Times New Roman" w:hAnsi="Times New Roman"/>
          <w:i/>
          <w:sz w:val="20"/>
        </w:rPr>
        <w:t xml:space="preserve">Adjustment </w:t>
      </w:r>
    </w:p>
    <w:p>
      <w:pPr>
        <w:pStyle w:val="TextBody"/>
        <w:bidi w:val="0"/>
        <w:spacing w:before="120" w:after="0"/>
        <w:jc w:val="both"/>
        <w:rPr>
          <w:rFonts w:ascii="Times New Roman" w:hAnsi="Times New Roman"/>
          <w:sz w:val="20"/>
        </w:rPr>
      </w:pPr>
      <w:r>
        <w:rPr>
          <w:rFonts w:ascii="Times New Roman" w:hAnsi="Times New Roman"/>
          <w:sz w:val="20"/>
        </w:rPr>
        <w:t xml:space="preserve">In the event of a change in the number or class of outstanding shares of our common stock, without consideration, by reason of a stock dividend, extraordinary dividend or distribution (whether in cash, shares, or other property, other than a regular cash dividend), recapitalization, stock split, reverse stock split, subdivision, combination, conversion, consolidation, reclassification, spin-off or similar change in our capital or corporate structure, appropriate proportional adjustments will be made to the number and class of shares reserved for issuance under our 2026 Plan; the exercise prices, number and class of shares subject to outstanding options or SARs; the number and class of shares subject to other outstanding awards; and the maximum number and class of shares that may be issued as incentive stock options. </w:t>
      </w:r>
    </w:p>
    <w:p>
      <w:pPr>
        <w:pStyle w:val="TextBody"/>
        <w:bidi w:val="0"/>
        <w:spacing w:before="360" w:after="0"/>
        <w:jc w:val="left"/>
        <w:rPr>
          <w:rFonts w:ascii="Times New Roman" w:hAnsi="Times New Roman"/>
          <w:i/>
          <w:sz w:val="20"/>
        </w:rPr>
      </w:pPr>
      <w:r>
        <w:rPr>
          <w:rFonts w:ascii="Times New Roman" w:hAnsi="Times New Roman"/>
          <w:i/>
          <w:sz w:val="20"/>
        </w:rPr>
        <w:t xml:space="preserve">Exchange, Repricing and Buyout of Awards </w:t>
      </w:r>
    </w:p>
    <w:p>
      <w:pPr>
        <w:pStyle w:val="TextBody"/>
        <w:bidi w:val="0"/>
        <w:spacing w:before="120" w:after="0"/>
        <w:jc w:val="both"/>
        <w:rPr>
          <w:rFonts w:ascii="Times New Roman" w:hAnsi="Times New Roman"/>
          <w:sz w:val="20"/>
        </w:rPr>
      </w:pPr>
      <w:r>
        <w:rPr>
          <w:rFonts w:ascii="Times New Roman" w:hAnsi="Times New Roman"/>
          <w:sz w:val="20"/>
        </w:rPr>
        <w:t xml:space="preserve">Without prior stockholder approval, our Committee may (a) reprice options or SARs (and where such repricing is a reduction in the exercise price, the consent of the affected Participants is not required, provided written notice is provided to them) and (b) with the consent of the respective participants, pay cash or issue new awards in exchange for the surrender and cancellation of any or all outstanding awards. </w:t>
      </w:r>
    </w:p>
    <w:p>
      <w:pPr>
        <w:pStyle w:val="TextBody"/>
        <w:bidi w:val="0"/>
        <w:spacing w:before="360" w:after="0"/>
        <w:jc w:val="left"/>
        <w:rPr>
          <w:rFonts w:ascii="Times New Roman" w:hAnsi="Times New Roman"/>
          <w:i/>
          <w:sz w:val="20"/>
        </w:rPr>
      </w:pPr>
      <w:r>
        <w:rPr>
          <w:rFonts w:ascii="Times New Roman" w:hAnsi="Times New Roman"/>
          <w:i/>
          <w:sz w:val="20"/>
        </w:rPr>
        <w:t xml:space="preserve">Director Compensation Limit </w:t>
      </w:r>
    </w:p>
    <w:p>
      <w:pPr>
        <w:pStyle w:val="TextBody"/>
        <w:bidi w:val="0"/>
        <w:spacing w:before="120" w:after="0"/>
        <w:jc w:val="both"/>
        <w:rPr>
          <w:rFonts w:ascii="Times New Roman" w:hAnsi="Times New Roman"/>
          <w:sz w:val="20"/>
        </w:rPr>
      </w:pPr>
      <w:r>
        <w:rPr>
          <w:rFonts w:ascii="Times New Roman" w:hAnsi="Times New Roman"/>
          <w:sz w:val="20"/>
        </w:rPr>
        <w:t xml:space="preserve">No non-employee director may receive awards under our 2026 Plan in consideration for his or her service as a non-employee director following this offering with a grant date value that, when combined with cash compensation, received for his or her service as a non-employee director, exceeds $750,000 in a calendar year or $1,000,000 in the calendar year of his or her initial service as a non-employee director with us. Awards granted, or cash compensation paid, to an individual in consideration of services as an employee or in consideration of services as a consultant will not count for purposes of this limitation. </w:t>
      </w:r>
    </w:p>
    <w:p>
      <w:pPr>
        <w:pStyle w:val="TextBody"/>
        <w:bidi w:val="0"/>
        <w:spacing w:before="360" w:after="0"/>
        <w:jc w:val="left"/>
        <w:rPr>
          <w:rFonts w:ascii="Times New Roman" w:hAnsi="Times New Roman"/>
          <w:i/>
          <w:sz w:val="20"/>
        </w:rPr>
      </w:pPr>
      <w:r>
        <w:rPr>
          <w:rFonts w:ascii="Times New Roman" w:hAnsi="Times New Roman"/>
          <w:i/>
          <w:sz w:val="20"/>
        </w:rPr>
        <w:t xml:space="preserve">Clawback; Transferability </w:t>
      </w:r>
    </w:p>
    <w:p>
      <w:pPr>
        <w:pStyle w:val="TextBody"/>
        <w:bidi w:val="0"/>
        <w:spacing w:before="120" w:after="0"/>
        <w:jc w:val="both"/>
        <w:rPr>
          <w:rFonts w:ascii="Times New Roman" w:hAnsi="Times New Roman"/>
          <w:sz w:val="20"/>
        </w:rPr>
      </w:pPr>
      <w:r>
        <w:rPr>
          <w:rFonts w:ascii="Times New Roman" w:hAnsi="Times New Roman"/>
          <w:sz w:val="20"/>
        </w:rPr>
        <w:t xml:space="preserve">All awards will be subject to clawback or recoupment pursuant to any compensation clawback or recoupment policy adopted by our board of directors or our Committee or required by law, to the extent set forth in such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Except in limited circumstances, awards granted under our 2026 Plan may generally not be transferred in any manner prior to vesting other than by will or by the laws of descent and distribution. </w:t>
      </w:r>
    </w:p>
    <w:p>
      <w:pPr>
        <w:pStyle w:val="TextBody"/>
        <w:bidi w:val="0"/>
        <w:spacing w:before="360" w:after="0"/>
        <w:jc w:val="left"/>
        <w:rPr>
          <w:rFonts w:ascii="Times New Roman" w:hAnsi="Times New Roman"/>
          <w:i/>
          <w:sz w:val="20"/>
        </w:rPr>
      </w:pPr>
      <w:r>
        <w:rPr>
          <w:rFonts w:ascii="Times New Roman" w:hAnsi="Times New Roman"/>
          <w:i/>
          <w:sz w:val="20"/>
        </w:rPr>
        <w:t xml:space="preserve">Foreign Award Recipients </w:t>
      </w:r>
    </w:p>
    <w:p>
      <w:pPr>
        <w:pStyle w:val="TextBody"/>
        <w:bidi w:val="0"/>
        <w:spacing w:before="120" w:after="0"/>
        <w:jc w:val="both"/>
        <w:rPr>
          <w:rFonts w:ascii="Times New Roman" w:hAnsi="Times New Roman"/>
          <w:sz w:val="20"/>
        </w:rPr>
      </w:pPr>
      <w:r>
        <w:rPr>
          <w:rFonts w:ascii="Times New Roman" w:hAnsi="Times New Roman"/>
          <w:sz w:val="20"/>
        </w:rPr>
        <w:t xml:space="preserve">In order to comply with the laws in other countries in which we and our subsidiaries and affiliates operate or have employees or other individuals eligible for awards, the Committee will have the power and authority to modify the terms and conditions of any award granted to individuals outside the United States to comply with applicable foreign laws, establish subplans and modify exercise procedures and other terms and procedures, and take any action that the Committee determines to be necessary or advisable to comply with any local governmental regulatory exemptions or approvals. </w:t>
      </w:r>
    </w:p>
    <w:p>
      <w:pPr>
        <w:pStyle w:val="TextBody"/>
        <w:bidi w:val="0"/>
        <w:spacing w:before="360" w:after="0"/>
        <w:jc w:val="left"/>
        <w:rPr>
          <w:rFonts w:ascii="Times New Roman" w:hAnsi="Times New Roman"/>
          <w:i/>
          <w:sz w:val="20"/>
        </w:rPr>
      </w:pPr>
      <w:r>
        <w:rPr>
          <w:rFonts w:ascii="Times New Roman" w:hAnsi="Times New Roman"/>
          <w:i/>
          <w:sz w:val="20"/>
        </w:rPr>
        <w:t xml:space="preserve">Amendment and Termination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may amend our 2026 Plan at any time, subject to stockholder approval as may be required. Our 2026 Plan will terminate ten years from the date our board of directors adopts the 2026 Plan, unless it is terminated earlier as provided by the terms of the 2026 Plan. No termination or amendment of the 2026 Plan may adversely affect any then-outstanding award without the consent of the affected participant, except as is necessary to comply with applicable laws or as otherwise provided by the terms of the 2026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2026 Employee Stock Purchase Plan </w:t>
      </w:r>
    </w:p>
    <w:p>
      <w:pPr>
        <w:pStyle w:val="TextBody"/>
        <w:bidi w:val="0"/>
        <w:spacing w:before="120" w:after="0"/>
        <w:jc w:val="both"/>
        <w:rPr>
          <w:rFonts w:ascii="Times New Roman" w:hAnsi="Times New Roman"/>
          <w:sz w:val="20"/>
        </w:rPr>
      </w:pPr>
      <w:r>
        <w:rPr>
          <w:rFonts w:ascii="Times New Roman" w:hAnsi="Times New Roman"/>
          <w:sz w:val="20"/>
        </w:rPr>
        <w:t xml:space="preserve">We have adopted our 2026 Employee Stock Purchase Plan (ESPP) that will become effective on the date of the effectiveness of the registration statement of which this prospectus forms a part. Our ESPP will permit eligible employees to purchase shares of our common stock at a discount with accumulated payroll deductions, beginning on a date to be determined by our board of directors or our Committee. Our ESPP is intended to qualify under Section 423 of the Code, </w:t>
      </w:r>
      <w:r>
        <w:rPr>
          <w:rFonts w:ascii="Times New Roman" w:hAnsi="Times New Roman"/>
          <w:i/>
          <w:sz w:val="20"/>
        </w:rPr>
        <w:t xml:space="preserve">provided that </w:t>
      </w:r>
      <w:r>
        <w:rPr>
          <w:rFonts w:ascii="Times New Roman" w:hAnsi="Times New Roman"/>
          <w:sz w:val="20"/>
        </w:rPr>
        <w:t xml:space="preserve">the Committee may adopt sub-plans under our ESPP designed to be outside of the scope of Section 423 of the Code for participants who are non-U.S. residents. </w:t>
      </w:r>
    </w:p>
    <w:p>
      <w:pPr>
        <w:pStyle w:val="TextBody"/>
        <w:bidi w:val="0"/>
        <w:spacing w:before="360" w:after="0"/>
        <w:jc w:val="left"/>
        <w:rPr>
          <w:rFonts w:ascii="Times New Roman" w:hAnsi="Times New Roman"/>
          <w:i/>
          <w:sz w:val="20"/>
        </w:rPr>
      </w:pPr>
      <w:r>
        <w:rPr>
          <w:rFonts w:ascii="Times New Roman" w:hAnsi="Times New Roman"/>
          <w:i/>
          <w:sz w:val="20"/>
        </w:rPr>
        <w:t xml:space="preserve">Shares Available </w:t>
      </w:r>
    </w:p>
    <w:p>
      <w:pPr>
        <w:pStyle w:val="TextBody"/>
        <w:bidi w:val="0"/>
        <w:spacing w:before="120" w:after="0"/>
        <w:jc w:val="both"/>
        <w:rPr>
          <w:rFonts w:ascii="Times New Roman" w:hAnsi="Times New Roman"/>
          <w:sz w:val="20"/>
        </w:rPr>
      </w:pPr>
      <w:r>
        <w:rPr>
          <w:rFonts w:ascii="Times New Roman" w:hAnsi="Times New Roman"/>
          <w:sz w:val="20"/>
        </w:rPr>
        <w:t xml:space="preserve">We have initially reserved 410,000 shares of our common stock for sale under our ESPP. The aggregate number of shares reserved for sale under our ESPP will increase automatically on January 1st of each of 2027 through 2036 by the number of shares equal to the lesser of 1% of the sum of the total number of shares of all classes of our common stock, plus the total number of shares of our common stock issuable upon conversion of any preferred stock (if any) and the total number of shares of our common stock subject to any pre-funded warrants, as issued and outstanding as of the immediately preceding December 31 (rounded down to the nearest whole share) or a number of shares as may be determined by our board of directors or our Committee in any particular year. The aggregate number of shares issued over the term of our ESPP, subject to stock-splits, recapitalizations or similar events, may not exceed 4,100,000 shares of our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Administration </w:t>
      </w:r>
    </w:p>
    <w:p>
      <w:pPr>
        <w:pStyle w:val="TextBody"/>
        <w:bidi w:val="0"/>
        <w:spacing w:before="120" w:after="0"/>
        <w:jc w:val="both"/>
        <w:rPr>
          <w:rFonts w:ascii="Times New Roman" w:hAnsi="Times New Roman"/>
          <w:sz w:val="20"/>
        </w:rPr>
      </w:pPr>
      <w:r>
        <w:rPr>
          <w:rFonts w:ascii="Times New Roman" w:hAnsi="Times New Roman"/>
          <w:sz w:val="20"/>
        </w:rPr>
        <w:t xml:space="preserve">Our ESPP is expected to be administered by our Committee, or by our board of directors acting in place of our Committee. Among other things, the Committee will have the authority to determine eligibility for participation in the ESPP, designate separate offerings under the ESPP, and construe, interpret and apply the terms of the ESPP. </w:t>
      </w:r>
    </w:p>
    <w:p>
      <w:pPr>
        <w:pStyle w:val="TextBody"/>
        <w:bidi w:val="0"/>
        <w:spacing w:before="360" w:after="0"/>
        <w:jc w:val="left"/>
        <w:rPr>
          <w:rFonts w:ascii="Times New Roman" w:hAnsi="Times New Roman"/>
          <w:i/>
          <w:sz w:val="20"/>
        </w:rPr>
      </w:pPr>
      <w:r>
        <w:rPr>
          <w:rFonts w:ascii="Times New Roman" w:hAnsi="Times New Roman"/>
          <w:i/>
          <w:sz w:val="20"/>
        </w:rPr>
        <w:t xml:space="preserve">Eligibility </w:t>
      </w:r>
    </w:p>
    <w:p>
      <w:pPr>
        <w:pStyle w:val="TextBody"/>
        <w:bidi w:val="0"/>
        <w:spacing w:before="120" w:after="0"/>
        <w:jc w:val="both"/>
        <w:rPr>
          <w:rFonts w:ascii="Times New Roman" w:hAnsi="Times New Roman"/>
          <w:sz w:val="20"/>
        </w:rPr>
      </w:pPr>
      <w:r>
        <w:rPr>
          <w:rFonts w:ascii="Times New Roman" w:hAnsi="Times New Roman"/>
          <w:sz w:val="20"/>
        </w:rPr>
        <w:t xml:space="preserve">Employees eligible to participate in any offering pursuant to the ESPP generally include any employee that is employed by us or certain of our designated subsidiaries at the beginning of the offering period. However,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Committee may exclude the following employees from the ESPP (other than where such exclusion is prohibited by applicable law): employees who do not meet eligibility requirements that the Committee may choose to impose (within the limits permitted by the Code); employees who are not employed by the company or a designated subsidiary prior to the beginning of an offering period or prior to such other time period as specified by the Committee, employees who have been employed for less than two years, employees who are customarily employed for 20 hours or less per week, or for five months or less in a calendar year, certain “highly compensated” employees as determined in accordance with applicable tax laws, or employees resident in a foreign jurisdiction whose participation is either prohibited under local law, or where compliance with local law would violate Section 423 of the Code, may not be eligible to participate in the ESPP or individuals who provide services to the company or any of its designated subsidiaries who are reclassified as common law employees for any reason except for federal income and employment tax purposes. In addition, any employee who owns (or is deemed to own as a result of attribution) 5% or more of the total combined voting power or value of all classes of our capital stock, or the capital stock of one of our qualifying subsidiaries, or who will own such amount as a result of participation in the ESPP, will not be eligible to participate in the ESPP. </w:t>
      </w:r>
    </w:p>
    <w:p>
      <w:pPr>
        <w:pStyle w:val="TextBody"/>
        <w:bidi w:val="0"/>
        <w:spacing w:before="360" w:after="0"/>
        <w:jc w:val="left"/>
        <w:rPr>
          <w:rFonts w:ascii="Times New Roman" w:hAnsi="Times New Roman"/>
          <w:i/>
          <w:sz w:val="20"/>
        </w:rPr>
      </w:pPr>
      <w:r>
        <w:rPr>
          <w:rFonts w:ascii="Times New Roman" w:hAnsi="Times New Roman"/>
          <w:i/>
          <w:sz w:val="20"/>
        </w:rPr>
        <w:t xml:space="preserve">Offerings </w:t>
      </w:r>
    </w:p>
    <w:p>
      <w:pPr>
        <w:pStyle w:val="TextBody"/>
        <w:bidi w:val="0"/>
        <w:spacing w:before="120" w:after="0"/>
        <w:jc w:val="both"/>
        <w:rPr>
          <w:rFonts w:ascii="Times New Roman" w:hAnsi="Times New Roman"/>
          <w:sz w:val="20"/>
        </w:rPr>
      </w:pPr>
      <w:r>
        <w:rPr>
          <w:rFonts w:ascii="Times New Roman" w:hAnsi="Times New Roman"/>
          <w:sz w:val="20"/>
        </w:rPr>
        <w:t xml:space="preserve">Under our ESPP, eligible employees will be offered the option to purchase shares of our common stock at a discount over a series of offering periods, which may be consecutive or overlapping, through accumulated payroll deductions over the period. Each offering period may itself consist of one or more purchase periods. No offering period may be longer than 27 months. </w:t>
      </w:r>
    </w:p>
    <w:p>
      <w:pPr>
        <w:pStyle w:val="TextBody"/>
        <w:bidi w:val="0"/>
        <w:spacing w:before="360" w:after="0"/>
        <w:jc w:val="left"/>
        <w:rPr>
          <w:rFonts w:ascii="Times New Roman" w:hAnsi="Times New Roman"/>
          <w:i/>
          <w:sz w:val="20"/>
        </w:rPr>
      </w:pPr>
      <w:r>
        <w:rPr>
          <w:rFonts w:ascii="Times New Roman" w:hAnsi="Times New Roman"/>
          <w:i/>
          <w:sz w:val="20"/>
        </w:rPr>
        <w:t xml:space="preserve">Participation </w:t>
      </w:r>
    </w:p>
    <w:p>
      <w:pPr>
        <w:pStyle w:val="TextBody"/>
        <w:bidi w:val="0"/>
        <w:spacing w:before="120" w:after="0"/>
        <w:jc w:val="both"/>
        <w:rPr>
          <w:rFonts w:ascii="Times New Roman" w:hAnsi="Times New Roman"/>
          <w:sz w:val="20"/>
        </w:rPr>
      </w:pPr>
      <w:r>
        <w:rPr>
          <w:rFonts w:ascii="Times New Roman" w:hAnsi="Times New Roman"/>
          <w:sz w:val="20"/>
        </w:rPr>
        <w:t xml:space="preserve">Participating employees will be able to purchase the offered shares of our common stock by accumulating funds through payroll deductions. Participants may select a rate of payroll deduction between 1% and 15% of their compensation. A participant may not purchase more than 2,500 (or such higher or lower number of shares as may be determined by the Committee in its discretion) shares of our common stock during any one purchase period, and may not subscribe for more than $25,000 in fair market value of shares of our common stock (determined as of the date the offering period commences) in any calendar year in which the offering is in effect. </w:t>
      </w:r>
    </w:p>
    <w:p>
      <w:pPr>
        <w:pStyle w:val="TextBody"/>
        <w:bidi w:val="0"/>
        <w:spacing w:before="240" w:after="0"/>
        <w:jc w:val="both"/>
        <w:rPr>
          <w:rFonts w:ascii="Times New Roman" w:hAnsi="Times New Roman"/>
          <w:sz w:val="20"/>
        </w:rPr>
      </w:pPr>
      <w:r>
        <w:rPr>
          <w:rFonts w:ascii="Times New Roman" w:hAnsi="Times New Roman"/>
          <w:sz w:val="20"/>
        </w:rPr>
        <w:t xml:space="preserve">The purchase price for shares of our common stock purchased under the ESPP will be 85% of the lesser of the fair market value of our common stock on (i) the first trading day of the applicable offering period or (ii) the last trading day of each purchase period in the applicable offering period. </w:t>
      </w:r>
    </w:p>
    <w:p>
      <w:pPr>
        <w:pStyle w:val="TextBody"/>
        <w:bidi w:val="0"/>
        <w:spacing w:before="240" w:after="0"/>
        <w:jc w:val="both"/>
        <w:rPr>
          <w:rFonts w:ascii="Times New Roman" w:hAnsi="Times New Roman"/>
          <w:sz w:val="20"/>
        </w:rPr>
      </w:pPr>
      <w:r>
        <w:rPr>
          <w:rFonts w:ascii="Times New Roman" w:hAnsi="Times New Roman"/>
          <w:sz w:val="20"/>
        </w:rPr>
        <w:t xml:space="preserve">Once an employee becomes a participant in an offering period, the participant will be automatically enrolled in each subsequent offering period at the same contribution level. To the extent applicable, if the fair market value of our common stock on the first day of the current offering period in which a participant is enrolled is higher than the fair market value of our common stock on the first day of any subsequent offering period, then (i) we will automatically withdraw the participant from the current offering period immediately after completion of the purchase on the purchase date of the current purchase period and the participant will be automatically enrolled in the subsequent offering period and (ii) any funds accumulated in a participant’s account prior to the first day of such subsequent offering period will be applied to the purchase of shares on the purchase date preceding the first day of such subsequent offering period. A participant may reduce his or her contribution in accordance with procedures set forth by the Committee and may withdraw from participation in the ESPP at any time prior to the end of an offering period, or such other time as may be specified by the Committee. Upon withdrawal, the accumulated payroll deductions will be returned to the participant without interest. </w:t>
      </w:r>
    </w:p>
    <w:p>
      <w:pPr>
        <w:pStyle w:val="TextBody"/>
        <w:bidi w:val="0"/>
        <w:spacing w:before="360" w:after="0"/>
        <w:jc w:val="left"/>
        <w:rPr>
          <w:rFonts w:ascii="Times New Roman" w:hAnsi="Times New Roman"/>
          <w:i/>
          <w:sz w:val="20"/>
        </w:rPr>
      </w:pPr>
      <w:r>
        <w:rPr>
          <w:rFonts w:ascii="Times New Roman" w:hAnsi="Times New Roman"/>
          <w:i/>
          <w:sz w:val="20"/>
        </w:rPr>
        <w:t xml:space="preserve">Adjustments Upon Recapitalization </w:t>
      </w:r>
    </w:p>
    <w:p>
      <w:pPr>
        <w:pStyle w:val="TextBody"/>
        <w:bidi w:val="0"/>
        <w:spacing w:before="120" w:after="0"/>
        <w:jc w:val="both"/>
        <w:rPr>
          <w:rFonts w:ascii="Times New Roman" w:hAnsi="Times New Roman"/>
          <w:sz w:val="20"/>
        </w:rPr>
      </w:pPr>
      <w:r>
        <w:rPr>
          <w:rFonts w:ascii="Times New Roman" w:hAnsi="Times New Roman"/>
          <w:sz w:val="20"/>
        </w:rPr>
        <w:t xml:space="preserve">If the number or class of outstanding shares of our common stock is changed by a stock dividend, extraordinary dividend or distribution (whether in cash, shares or other property, other than a regular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dividend), recapitalization, stock split, reverse stock split, subdivision, combination, conversion, consolidation, reclassification, spin-off or similar change in our capital or corporate structure, without consideration, then our Committee will proportionately adjust the number and class of common stock that may be delivered under the ESPP, the purchase price per share and the number and class of shares of common stock covered by each outstanding option under the ESPP which has not yet been exercised, and the maximum number and class of shares under the ESPP, subject to any required action by our board of directors or our stockholders and in compliance with applicable securities laws; provided that fractions of a share will not be issued. </w:t>
      </w:r>
    </w:p>
    <w:p>
      <w:pPr>
        <w:pStyle w:val="TextBody"/>
        <w:bidi w:val="0"/>
        <w:spacing w:before="360" w:after="0"/>
        <w:jc w:val="left"/>
        <w:rPr>
          <w:rFonts w:ascii="Times New Roman" w:hAnsi="Times New Roman"/>
          <w:i/>
          <w:sz w:val="20"/>
        </w:rPr>
      </w:pPr>
      <w:r>
        <w:rPr>
          <w:rFonts w:ascii="Times New Roman" w:hAnsi="Times New Roman"/>
          <w:i/>
          <w:sz w:val="20"/>
        </w:rPr>
        <w:t xml:space="preserve">Change of Control </w:t>
      </w:r>
    </w:p>
    <w:p>
      <w:pPr>
        <w:pStyle w:val="TextBody"/>
        <w:bidi w:val="0"/>
        <w:spacing w:before="120" w:after="0"/>
        <w:jc w:val="both"/>
        <w:rPr>
          <w:rFonts w:ascii="Times New Roman" w:hAnsi="Times New Roman"/>
          <w:sz w:val="20"/>
        </w:rPr>
      </w:pPr>
      <w:r>
        <w:rPr>
          <w:rFonts w:ascii="Times New Roman" w:hAnsi="Times New Roman"/>
          <w:sz w:val="20"/>
        </w:rPr>
        <w:t xml:space="preserve">In the event of a Corporate Transaction (as defined in the ESPP), the offering period for each outstanding option to purchase common stock will be shortened by setting a new purchase date and will end on such new purchase date. The new purchase date will occur on or prior to the consummation of the Corporate Transaction, as determined by our board of directors or our Committee, and our ESPP will terminate on the consummation of the Corporate Transaction. </w:t>
      </w:r>
    </w:p>
    <w:p>
      <w:pPr>
        <w:pStyle w:val="TextBody"/>
        <w:bidi w:val="0"/>
        <w:spacing w:before="360" w:after="0"/>
        <w:jc w:val="left"/>
        <w:rPr>
          <w:rFonts w:ascii="Times New Roman" w:hAnsi="Times New Roman"/>
          <w:i/>
          <w:sz w:val="20"/>
        </w:rPr>
      </w:pPr>
      <w:r>
        <w:rPr>
          <w:rFonts w:ascii="Times New Roman" w:hAnsi="Times New Roman"/>
          <w:i/>
          <w:sz w:val="20"/>
        </w:rPr>
        <w:t xml:space="preserve">Transferability </w:t>
      </w:r>
    </w:p>
    <w:p>
      <w:pPr>
        <w:pStyle w:val="TextBody"/>
        <w:bidi w:val="0"/>
        <w:spacing w:before="120" w:after="0"/>
        <w:jc w:val="both"/>
        <w:rPr>
          <w:rFonts w:ascii="Times New Roman" w:hAnsi="Times New Roman"/>
          <w:sz w:val="20"/>
        </w:rPr>
      </w:pPr>
      <w:r>
        <w:rPr>
          <w:rFonts w:ascii="Times New Roman" w:hAnsi="Times New Roman"/>
          <w:sz w:val="20"/>
        </w:rPr>
        <w:t xml:space="preserve">A participant may not assign, transfer, pledge or otherwise dispose of payroll deductions credited to his or her account, or any rights with regard to an election to purchase shares pursuant to the ESPP other than by will or the laws of descent or distribution. </w:t>
      </w:r>
    </w:p>
    <w:p>
      <w:pPr>
        <w:pStyle w:val="TextBody"/>
        <w:bidi w:val="0"/>
        <w:spacing w:before="360" w:after="0"/>
        <w:jc w:val="left"/>
        <w:rPr>
          <w:rFonts w:ascii="Times New Roman" w:hAnsi="Times New Roman"/>
          <w:i/>
          <w:sz w:val="20"/>
        </w:rPr>
      </w:pPr>
      <w:r>
        <w:rPr>
          <w:rFonts w:ascii="Times New Roman" w:hAnsi="Times New Roman"/>
          <w:i/>
          <w:sz w:val="20"/>
        </w:rPr>
        <w:t xml:space="preserve">Amendment; Termination </w:t>
      </w:r>
    </w:p>
    <w:p>
      <w:pPr>
        <w:pStyle w:val="TextBody"/>
        <w:bidi w:val="0"/>
        <w:spacing w:before="120" w:after="0"/>
        <w:jc w:val="both"/>
        <w:rPr>
          <w:rFonts w:ascii="Times New Roman" w:hAnsi="Times New Roman"/>
          <w:sz w:val="20"/>
        </w:rPr>
      </w:pPr>
      <w:r>
        <w:rPr>
          <w:rFonts w:ascii="Times New Roman" w:hAnsi="Times New Roman"/>
          <w:sz w:val="20"/>
        </w:rPr>
        <w:t xml:space="preserve">The Committee may amend, suspend or terminate the ESPP at any time without stockholder consent, except to the extent such amendment would increase the number of shares available for issuance under our ESPP, change the class or designation of employees eligible for participation in the plan or otherwise as required by law. If our ESPP is terminated, the Committee may elect to terminate all outstanding offering periods immediately, upon the next purchase date (which may be sooner than originally scheduled) or upon the last day of such offering period. If any offering period is terminated prior to its scheduled completion, all amounts credited to participants which have not been used to purchase shares will be returned to participants as soon as administratively practicable. Our ESPP will continue until the earlier to occur of (a) termination of the ESPP by our board of directors, (b) issuance of all of the shares reserved for issuance under the ESPP, or (c) the tenth anniversary of the effective date of the ESPP. </w:t>
      </w:r>
    </w:p>
    <w:p>
      <w:pPr>
        <w:pStyle w:val="TextBody"/>
        <w:bidi w:val="0"/>
        <w:spacing w:before="360" w:after="0"/>
        <w:jc w:val="left"/>
        <w:rPr>
          <w:rFonts w:ascii="Times New Roman" w:hAnsi="Times New Roman"/>
          <w:b/>
          <w:i/>
          <w:sz w:val="20"/>
        </w:rPr>
      </w:pPr>
      <w:r>
        <w:rPr>
          <w:rFonts w:ascii="Times New Roman" w:hAnsi="Times New Roman"/>
          <w:b/>
          <w:i/>
          <w:sz w:val="20"/>
        </w:rPr>
        <w:t xml:space="preserve">401(k) Plan </w:t>
      </w:r>
    </w:p>
    <w:p>
      <w:pPr>
        <w:pStyle w:val="TextBody"/>
        <w:bidi w:val="0"/>
        <w:spacing w:before="120" w:after="0"/>
        <w:jc w:val="both"/>
        <w:rPr>
          <w:rFonts w:ascii="Times New Roman" w:hAnsi="Times New Roman"/>
          <w:sz w:val="20"/>
        </w:rPr>
      </w:pPr>
      <w:r>
        <w:rPr>
          <w:rFonts w:ascii="Times New Roman" w:hAnsi="Times New Roman"/>
          <w:sz w:val="20"/>
        </w:rPr>
        <w:t xml:space="preserve">We sponsor a retirement savings plan that is intended to qualify for favorable tax treatment under Section 401(a) of the Code and contains a cash or deferred feature that is intended to meet the requirements of Section 401(k) of the Code. We match portions of employees’ voluntary contributions. Participants may make pre-tax and certain after-tax (Roth) salary deferral contributions to the plan from their eligible earnings up to the statutorily prescribed annual limit under the Code. Participants who are projected to reach 50 years of age or older during a calendar year may contribute additional amounts based on the statutory limits for catch-up contributions. Participant contributions are held in trust as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Other Benefits </w:t>
      </w:r>
    </w:p>
    <w:p>
      <w:pPr>
        <w:pStyle w:val="TextBody"/>
        <w:bidi w:val="0"/>
        <w:spacing w:before="120" w:after="0"/>
        <w:jc w:val="both"/>
        <w:rPr>
          <w:rFonts w:ascii="Times New Roman" w:hAnsi="Times New Roman"/>
          <w:sz w:val="20"/>
        </w:rPr>
      </w:pPr>
      <w:r>
        <w:rPr>
          <w:rFonts w:ascii="Times New Roman" w:hAnsi="Times New Roman"/>
          <w:sz w:val="20"/>
        </w:rPr>
        <w:t xml:space="preserve">Our named executive officers are eligible to participate in our employee benefit plans on the same basis as our other employees, including our health and welfare plans.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Liability and Indemnification Matters </w:t>
      </w:r>
    </w:p>
    <w:p>
      <w:pPr>
        <w:pStyle w:val="TextBody"/>
        <w:bidi w:val="0"/>
        <w:spacing w:before="120" w:after="0"/>
        <w:jc w:val="both"/>
        <w:rPr>
          <w:rFonts w:ascii="Times New Roman" w:hAnsi="Times New Roman"/>
          <w:sz w:val="20"/>
        </w:rPr>
      </w:pPr>
      <w:r>
        <w:rPr>
          <w:rFonts w:ascii="Times New Roman" w:hAnsi="Times New Roman"/>
          <w:sz w:val="20"/>
        </w:rPr>
        <w:t xml:space="preserve">Our restated certificate of incorporation that will become effective upon the completion of this offering contains provisions that limit the liability of our directors and officers for monetary damages to the fullest extent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permitted by the Delaware General Corporation Law (DGCL). Consequently, our directors and officers will not be personally liable to us or our stockholders for monetary damages for any breach of fiduciary duties as directors or officers, except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breach of the director’s or officer’s duty of loyalty to us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act or omission not in good faith or that involves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with respect to directors, unlawful payments of dividends or unlawful stock repurchases or redemptions as provided in Section 174 of the DGCL;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or any transaction from which the director derived an improper personal benefit. </w:t>
            </w:r>
          </w:p>
        </w:tc>
      </w:tr>
    </w:tbl>
    <w:p>
      <w:pPr>
        <w:pStyle w:val="TextBody"/>
        <w:bidi w:val="0"/>
        <w:spacing w:before="240" w:after="0"/>
        <w:jc w:val="both"/>
        <w:rPr>
          <w:rFonts w:ascii="Times New Roman" w:hAnsi="Times New Roman"/>
          <w:sz w:val="20"/>
        </w:rPr>
      </w:pPr>
      <w:r>
        <w:rPr>
          <w:rFonts w:ascii="Times New Roman" w:hAnsi="Times New Roman"/>
          <w:sz w:val="20"/>
        </w:rPr>
        <w:t xml:space="preserve">Our restated certificate of incorporation and our restated bylaws that will become effective upon the completion of this offering require us to indemnify our directors and officers to the maximum extent not prohibited by the DGCL and allow us to indemnify other employees and agents as set forth in the DGCL. Subject to certain limitations, our restated bylaws will also require us to advance expenses incurred by our directors and officers for the defense of any action for which indemnification is required or permitted, subject to very limited exceptions. </w:t>
      </w:r>
    </w:p>
    <w:p>
      <w:pPr>
        <w:pStyle w:val="TextBody"/>
        <w:bidi w:val="0"/>
        <w:spacing w:before="240" w:after="0"/>
        <w:jc w:val="both"/>
        <w:rPr>
          <w:rFonts w:ascii="Times New Roman" w:hAnsi="Times New Roman"/>
          <w:sz w:val="20"/>
        </w:rPr>
      </w:pPr>
      <w:r>
        <w:rPr>
          <w:rFonts w:ascii="Times New Roman" w:hAnsi="Times New Roman"/>
          <w:sz w:val="20"/>
        </w:rPr>
        <w:t xml:space="preserve">We have entered, and intend to continue to enter, into separate indemnification agreements with our directors, executive officers and certain of our key employees, in addition to the indemnification provided for in our restated certificate of incorporation and restated bylaws. These agreements, among other things, require us to indemnify our directors, officers and key employees for certain expenses, including attorneys’ fees, judgments, penalties, fines and settlement amounts actually incurred by these individuals in any action or proceeding arising 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key employees for the defense of any action for which indemnification is required or permitted. </w:t>
      </w:r>
    </w:p>
    <w:p>
      <w:pPr>
        <w:pStyle w:val="TextBody"/>
        <w:bidi w:val="0"/>
        <w:spacing w:before="240" w:after="0"/>
        <w:jc w:val="both"/>
        <w:rPr>
          <w:rFonts w:ascii="Times New Roman" w:hAnsi="Times New Roman"/>
          <w:sz w:val="20"/>
        </w:rPr>
      </w:pPr>
      <w:r>
        <w:rPr>
          <w:rFonts w:ascii="Times New Roman" w:hAnsi="Times New Roman"/>
          <w:sz w:val="20"/>
        </w:rPr>
        <w:t xml:space="preserve">We believe that these indemnification provisions and agreements are necessary to attract and retain qualified directors, officers and key employees. We also maintain directors’ and officers’ liability insurance. </w:t>
      </w:r>
    </w:p>
    <w:p>
      <w:pPr>
        <w:pStyle w:val="TextBody"/>
        <w:bidi w:val="0"/>
        <w:spacing w:before="240" w:after="0"/>
        <w:jc w:val="both"/>
        <w:rPr>
          <w:rFonts w:ascii="Times New Roman" w:hAnsi="Times New Roman"/>
          <w:sz w:val="20"/>
        </w:rPr>
      </w:pPr>
      <w:r>
        <w:rPr>
          <w:rFonts w:ascii="Times New Roman" w:hAnsi="Times New Roman"/>
          <w:sz w:val="20"/>
        </w:rPr>
        <w:t xml:space="preserve">The limitation of liability and indemnification provisions in our restated certificate of incorporation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w:t>
      </w:r>
    </w:p>
    <w:p>
      <w:pPr>
        <w:pStyle w:val="TextBody"/>
        <w:bidi w:val="0"/>
        <w:spacing w:before="240" w:after="0"/>
        <w:jc w:val="both"/>
        <w:rPr>
          <w:rFonts w:ascii="Times New Roman" w:hAnsi="Times New Roman"/>
          <w:sz w:val="20"/>
        </w:rPr>
      </w:pPr>
      <w:r>
        <w:rPr>
          <w:rFonts w:ascii="Times New Roman" w:hAnsi="Times New Roman"/>
          <w:sz w:val="20"/>
        </w:rPr>
        <w:t xml:space="preserve">At present, there is no pending litigation or proceeding involving any of our directors or executive officers as to which indemnification is required or permitted, and we are not aware of any threatened litigation or proceeding that may result in a claim for indemnification. </w:t>
      </w:r>
    </w:p>
    <w:p>
      <w:pPr>
        <w:pStyle w:val="TextBody"/>
        <w:bidi w:val="0"/>
        <w:spacing w:before="240" w:after="0"/>
        <w:jc w:val="both"/>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or persons controlling us, we have been informed that, in the opinion of the SEC, such indemnification is against public policy as expressed in the Securities Act and is therefore unenforceable.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Recovery Policy </w:t>
      </w:r>
    </w:p>
    <w:p>
      <w:pPr>
        <w:pStyle w:val="TextBody"/>
        <w:bidi w:val="0"/>
        <w:spacing w:before="120" w:after="0"/>
        <w:jc w:val="both"/>
        <w:rPr>
          <w:rFonts w:ascii="Times New Roman" w:hAnsi="Times New Roman"/>
          <w:sz w:val="20"/>
        </w:rPr>
      </w:pPr>
      <w:r>
        <w:rPr>
          <w:rFonts w:ascii="Times New Roman" w:hAnsi="Times New Roman"/>
          <w:sz w:val="20"/>
        </w:rPr>
        <w:t xml:space="preserve">In connection with the completion of this offering, our board of directors has adopted a compensation recovery policy (Compensation Recovery Policy), which will become effective upon the effectiveness of this registration statement. The Compensation Recovery Policy is in accordance with the final rules regarding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recovery of erroneously awarded executive officer compensation in connection with an accounting restatement, as adopted by the SEC in October 2022, and consistent with the corresponding listing standards (together, the Clawback Rules). Pursuant to the Compensation Recovery Policy, and subject to certain limited exceptions in the Clawback Rules, in the event we are required to restate our consolidated financial statements, we are required to recoup erroneously awarded incentive-based compensation (as described in the Clawback Rules), including both cash and equity compensation paid to any current or former executive officer (as described in the Clawback Rules) during the three completed fiscal years immediately prior to the date the accounting restatement was required. The amount recoverable is the amount of any incentive-based compensation received by the executive officer based on the consolidated financial statements prior to the restatement that exceeds the amount that such executive officer would have received had the incentive-based compensation been determined based on the financial restatement.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Equity Award Grant Practices </w:t>
      </w:r>
    </w:p>
    <w:p>
      <w:pPr>
        <w:pStyle w:val="TextBody"/>
        <w:bidi w:val="0"/>
        <w:spacing w:before="120" w:after="0"/>
        <w:jc w:val="both"/>
        <w:rPr>
          <w:rFonts w:ascii="Times New Roman" w:hAnsi="Times New Roman"/>
          <w:sz w:val="20"/>
        </w:rPr>
      </w:pPr>
      <w:r>
        <w:rPr>
          <w:rFonts w:ascii="Times New Roman" w:hAnsi="Times New Roman"/>
          <w:sz w:val="20"/>
        </w:rPr>
        <w:t xml:space="preserve">We grant equity awards on a discretionary basis in connection with certain events such as the commencement or anniversary of employment, promotion, high performance, or the closing of an acquisition. We do not grant awards in anticipation of the release of material nonpublic information, and we do not time the release of material nonpublic information for the purpose of affecting the value of any equity awards or executive compensation. </w:t>
      </w:r>
    </w:p>
    <w:p>
      <w:pPr>
        <w:pStyle w:val="TextBody"/>
        <w:bidi w:val="0"/>
        <w:spacing w:before="360" w:after="0"/>
        <w:jc w:val="left"/>
        <w:rPr>
          <w:rFonts w:ascii="Times New Roman" w:hAnsi="Times New Roman"/>
          <w:b/>
          <w:sz w:val="20"/>
        </w:rPr>
      </w:pPr>
      <w:r>
        <w:rPr>
          <w:rFonts w:ascii="Times New Roman" w:hAnsi="Times New Roman"/>
          <w:b/>
          <w:sz w:val="20"/>
        </w:rPr>
        <w:t xml:space="preserve">Rule 10b5-1 Plans </w:t>
      </w:r>
    </w:p>
    <w:p>
      <w:pPr>
        <w:pStyle w:val="TextBody"/>
        <w:bidi w:val="0"/>
        <w:spacing w:before="120" w:after="0"/>
        <w:jc w:val="both"/>
        <w:rPr>
          <w:rFonts w:ascii="Times New Roman" w:hAnsi="Times New Roman"/>
          <w:sz w:val="20"/>
        </w:rPr>
      </w:pPr>
      <w:r>
        <w:rPr>
          <w:rFonts w:ascii="Times New Roman" w:hAnsi="Times New Roman"/>
          <w:sz w:val="20"/>
        </w:rPr>
        <w:t xml:space="preserve">Our directors, officers and key employees may adopt written plans, known as Rule 10b5-1 plans, in which they will contract with a broker to buy or sell shares of our common stock on a periodic basis. Under a Rule 10b5-1 plan, a broker executes trades under parameters established by the director or officer when entering into the plan, without further direction from the director or officer. The director or officer may amend or terminate a Rule 10b5-1 plan, subject to certain requirements. Our directors and executive officers may also buy or sell additional shares outside of a Rule 10b5-1 plan when they are not in possession of material nonpublic information, subject to compliance with the terms of our insider trading policy and any applicable Rule 10b5-1 guidelines. Prior to 180 days after the date of the completion of this offering, subject to early termination, the sale of any shares under such Rule 10b5-1 plan would be subject to the lock-up agreement that our directors and executive officers have entered into with the underwriters in connection with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5" w:name="tx40469_13"/>
      <w:bookmarkEnd w:id="15"/>
      <w:r>
        <w:rPr>
          <w:rFonts w:ascii="Times New Roman" w:hAnsi="Times New Roman"/>
          <w:b/>
          <w:sz w:val="20"/>
        </w:rPr>
        <w:t xml:space="preserve">CERTAIN RELATIONSHIPS AND RELATED PARTY TRANSACTIONS </w:t>
      </w:r>
    </w:p>
    <w:p>
      <w:pPr>
        <w:pStyle w:val="TextBody"/>
        <w:bidi w:val="0"/>
        <w:spacing w:before="240" w:after="0"/>
        <w:jc w:val="both"/>
        <w:rPr>
          <w:rFonts w:ascii="Times New Roman" w:hAnsi="Times New Roman"/>
          <w:sz w:val="20"/>
        </w:rPr>
      </w:pPr>
      <w:r>
        <w:rPr>
          <w:rFonts w:ascii="Times New Roman" w:hAnsi="Times New Roman"/>
          <w:sz w:val="20"/>
        </w:rPr>
        <w:t xml:space="preserve">In addition to the compensation arrangements, including any employment, termination of employment and change in control arrangements, with our directors and executive officers, including those discussed in the sections titled “Management” and “Executive Compensation,” the following is a description of each transaction since January 1, 2023 and each currently proposed transaction in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have been or are to be a participant;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amounts involved exceeded or will exceed the lesser of $120,000 and 1% of our total assets at year-end for the last two completed fiscal years;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of our directors, executive officers or holders of more than 5% of our capital stock, or an affiliate or immediate family member of the foregoing persons, had or will have a direct or indirect material interest.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Agreements with Alamar </w:t>
      </w:r>
    </w:p>
    <w:p>
      <w:pPr>
        <w:pStyle w:val="TextBody"/>
        <w:bidi w:val="0"/>
        <w:spacing w:before="120" w:after="0"/>
        <w:jc w:val="both"/>
        <w:rPr>
          <w:rFonts w:ascii="Times New Roman" w:hAnsi="Times New Roman"/>
          <w:sz w:val="20"/>
        </w:rPr>
      </w:pPr>
      <w:r>
        <w:rPr>
          <w:rFonts w:ascii="Times New Roman" w:hAnsi="Times New Roman"/>
          <w:sz w:val="20"/>
        </w:rPr>
        <w:t xml:space="preserve">We are party to several agreements with Alamar Biosciences, Inc. (Alamar), which is a beneficial owner of more than 5% of our capital stock. </w:t>
      </w:r>
    </w:p>
    <w:p>
      <w:pPr>
        <w:pStyle w:val="TextBody"/>
        <w:bidi w:val="0"/>
        <w:spacing w:before="240" w:after="0"/>
        <w:jc w:val="both"/>
        <w:rPr>
          <w:rFonts w:ascii="Times New Roman" w:hAnsi="Times New Roman"/>
          <w:sz w:val="20"/>
        </w:rPr>
      </w:pPr>
      <w:r>
        <w:rPr>
          <w:rFonts w:ascii="Times New Roman" w:hAnsi="Times New Roman"/>
          <w:sz w:val="20"/>
        </w:rPr>
        <w:t xml:space="preserve">In December 2022, in connection with our formation, we issued 800,632 shares of our common stock to Alamar pursuant to a stock issuance agreement. In June 2023, we entered into the License Agreement with Alamar. In consideration for the rights granted under the License Agreement, we issued an additional 2,428,646 shares of our common stock to Alamar. See “Business—Alamar Platform License Agreement” for additional information. </w:t>
      </w:r>
    </w:p>
    <w:p>
      <w:pPr>
        <w:pStyle w:val="TextBody"/>
        <w:bidi w:val="0"/>
        <w:spacing w:before="240" w:after="0"/>
        <w:jc w:val="both"/>
        <w:rPr>
          <w:rFonts w:ascii="Times New Roman" w:hAnsi="Times New Roman"/>
          <w:sz w:val="20"/>
        </w:rPr>
      </w:pPr>
      <w:r>
        <w:rPr>
          <w:rFonts w:ascii="Times New Roman" w:hAnsi="Times New Roman"/>
          <w:sz w:val="20"/>
        </w:rPr>
        <w:t xml:space="preserve">Additionally, in June 2023, we entered into a services agreement with Alamar, pursuant to which Alamar provides us with certain non-research-based, operational services (the Services Agreement). Under the terms of the Service Agreement, we pay Alamar approximately $25,000 per month in connection with the services Alamar provides under the Services Agreement, and have paid Alamar approximately an aggregate of $0.5 million to date. </w:t>
      </w:r>
    </w:p>
    <w:p>
      <w:pPr>
        <w:pStyle w:val="TextBody"/>
        <w:bidi w:val="0"/>
        <w:spacing w:before="240" w:after="0"/>
        <w:jc w:val="both"/>
        <w:rPr>
          <w:rFonts w:ascii="Times New Roman" w:hAnsi="Times New Roman"/>
          <w:sz w:val="20"/>
        </w:rPr>
      </w:pPr>
      <w:r>
        <w:rPr>
          <w:rFonts w:ascii="Times New Roman" w:hAnsi="Times New Roman"/>
          <w:sz w:val="20"/>
        </w:rPr>
        <w:t xml:space="preserve">In June 2023, we entered into a sublease agreement with Alamar (as amended, the Sublease Agreement), pursuant to which we leased office and laboratory space in Fremont, California until March 2025, for $49,044 in initial rent per month which increased to $63,261 in rent per month pursuant to subsequent amendments. We paid Alamar approximately $1.7 million in aggregate under the Sublease Agreement for rent expense and certain rent-related charges such as common area maintenance charges and utilities. </w:t>
      </w:r>
    </w:p>
    <w:p>
      <w:pPr>
        <w:pStyle w:val="TextBody"/>
        <w:bidi w:val="0"/>
        <w:spacing w:before="240" w:after="0"/>
        <w:jc w:val="both"/>
        <w:rPr>
          <w:rFonts w:ascii="Times New Roman" w:hAnsi="Times New Roman"/>
          <w:sz w:val="20"/>
        </w:rPr>
      </w:pPr>
      <w:r>
        <w:rPr>
          <w:rFonts w:ascii="Times New Roman" w:hAnsi="Times New Roman"/>
          <w:sz w:val="20"/>
        </w:rPr>
        <w:t xml:space="preserve">Furthermore, in February 2024, we entered into a platform service agreement with Alamar, pursuant to which Alamar provides us with certain research-related services (the Platform Service Agreement). Under the terms of the Platform Service Agreement, we have paid Alamar approximately an aggregate of $488,500 to date. </w:t>
      </w:r>
    </w:p>
    <w:p>
      <w:pPr>
        <w:pStyle w:val="TextBody"/>
        <w:bidi w:val="0"/>
        <w:spacing w:before="360" w:after="0"/>
        <w:jc w:val="left"/>
        <w:rPr>
          <w:rFonts w:ascii="Times New Roman" w:hAnsi="Times New Roman"/>
          <w:b/>
          <w:sz w:val="20"/>
        </w:rPr>
      </w:pPr>
      <w:r>
        <w:rPr>
          <w:rFonts w:ascii="Times New Roman" w:hAnsi="Times New Roman"/>
          <w:b/>
          <w:sz w:val="20"/>
        </w:rPr>
        <w:t xml:space="preserve">Series A Redeemable Convertible Preferred Stock Financing </w:t>
      </w:r>
    </w:p>
    <w:p>
      <w:pPr>
        <w:pStyle w:val="TextBody"/>
        <w:bidi w:val="0"/>
        <w:spacing w:before="120" w:after="0"/>
        <w:jc w:val="both"/>
        <w:rPr>
          <w:rFonts w:ascii="Times New Roman" w:hAnsi="Times New Roman"/>
          <w:sz w:val="20"/>
        </w:rPr>
      </w:pPr>
      <w:r>
        <w:rPr>
          <w:rFonts w:ascii="Times New Roman" w:hAnsi="Times New Roman"/>
          <w:sz w:val="20"/>
        </w:rPr>
        <w:t xml:space="preserve">In two closings in June 2023 and January 2024, we sold and issued 30,425,000 shares of our Series A-1 redeemable convertible preferred stock (Series A-1 Preferred Stock) at a price per share of $1.00 and 27,659,090 shares of our Series A-2 redeemable convertible preferred stock (Series A-2 Preferred Stock and, together with the Series A-1 Preferred Stock, the Series A Preferred Stock) at a price per share of $1.10 for total gross proceeds of approximately $60.8 million (the Series A Preferred Stock Financing). In connection with the completion of this offering, all outstanding shares of our Series A Preferred Stock will automatically convert into shares of our common stock at the applicable conversion ratio, as adjusted to reflect the 1-for-9.29 reverse stock split of our common stock. Pursuant to the current investors’ rights agreement, as described below, holders of our Series A Preferred Stock are entitled to certain registration rights. See the section titled “Description of Capital Stock—Registration Rights” 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 following table summarizes the Series A Preferred Stock purchased by members of our board of directors or their affiliates and holders of more than 5% of our outstanding capital stock. Please refer to the section titled “Principal Stockholders” for additional information regarding the shares held by these entities.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98"/>
        <w:gridCol w:w="349"/>
        <w:gridCol w:w="96"/>
        <w:gridCol w:w="1838"/>
        <w:gridCol w:w="60"/>
        <w:gridCol w:w="349"/>
        <w:gridCol w:w="175"/>
        <w:gridCol w:w="1376"/>
        <w:gridCol w:w="64"/>
      </w:tblGrid>
      <w:tr>
        <w:trPr/>
        <w:tc>
          <w:tcPr>
            <w:tcW w:w="5898"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89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Stockholder</w:t>
            </w:r>
          </w:p>
        </w:tc>
        <w:tc>
          <w:tcPr>
            <w:tcW w:w="349" w:type="dxa"/>
            <w:tcBorders/>
            <w:vAlign w:val="bottom"/>
          </w:tcPr>
          <w:p>
            <w:pPr>
              <w:pStyle w:val="TableContents"/>
              <w:bidi w:val="0"/>
              <w:spacing w:before="0" w:after="283"/>
              <w:jc w:val="left"/>
              <w:rPr/>
            </w:pPr>
            <w:r>
              <w:rPr/>
              <w:t>  </w:t>
            </w:r>
          </w:p>
        </w:tc>
        <w:tc>
          <w:tcPr>
            <w:tcW w:w="19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 Series A</w:t>
              <w:br/>
              <w:t>Preferred Stock</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5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Cash</w:t>
              <w:br/>
              <w:t>Purchase Price</w:t>
            </w:r>
          </w:p>
        </w:tc>
        <w:tc>
          <w:tcPr>
            <w:tcW w:w="64" w:type="dxa"/>
            <w:tcBorders/>
            <w:vAlign w:val="bottom"/>
          </w:tcPr>
          <w:p>
            <w:pPr>
              <w:pStyle w:val="TableContents"/>
              <w:bidi w:val="0"/>
              <w:spacing w:before="0" w:after="283"/>
              <w:jc w:val="left"/>
              <w:rPr/>
            </w:pPr>
            <w:r>
              <w:rPr/>
              <w:t> </w:t>
            </w:r>
          </w:p>
        </w:tc>
      </w:tr>
      <w:tr>
        <w:trPr/>
        <w:tc>
          <w:tcPr>
            <w:tcW w:w="58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Frazier Life Sciences XI, L.P.(1)</w:t>
            </w:r>
          </w:p>
        </w:tc>
        <w:tc>
          <w:tcPr>
            <w:tcW w:w="349"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838" w:type="dxa"/>
            <w:tcBorders/>
            <w:shd w:fill="CCEEFF" w:val="clear"/>
            <w:vAlign w:val="bottom"/>
          </w:tcPr>
          <w:p>
            <w:pPr>
              <w:pStyle w:val="TableContents"/>
              <w:bidi w:val="0"/>
              <w:spacing w:before="0" w:after="283"/>
              <w:jc w:val="right"/>
              <w:rPr/>
            </w:pPr>
            <w:r>
              <w:rPr/>
              <w:t>31,022,727</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376" w:type="dxa"/>
            <w:tcBorders/>
            <w:shd w:fill="CCEEFF" w:val="clear"/>
            <w:vAlign w:val="bottom"/>
          </w:tcPr>
          <w:p>
            <w:pPr>
              <w:pStyle w:val="TableContents"/>
              <w:bidi w:val="0"/>
              <w:spacing w:before="0" w:after="283"/>
              <w:jc w:val="right"/>
              <w:rPr/>
            </w:pPr>
            <w:r>
              <w:rPr/>
              <w:t>32,500,000</w:t>
            </w:r>
          </w:p>
        </w:tc>
        <w:tc>
          <w:tcPr>
            <w:tcW w:w="64" w:type="dxa"/>
            <w:tcBorders/>
            <w:shd w:fill="CCEEFF" w:val="clear"/>
            <w:vAlign w:val="bottom"/>
          </w:tcPr>
          <w:p>
            <w:pPr>
              <w:pStyle w:val="TableContents"/>
              <w:bidi w:val="0"/>
              <w:spacing w:before="0" w:after="283"/>
              <w:jc w:val="left"/>
              <w:rPr/>
            </w:pPr>
            <w:r>
              <w:rPr/>
              <w:t> </w:t>
            </w:r>
          </w:p>
        </w:tc>
      </w:tr>
      <w:tr>
        <w:trPr/>
        <w:tc>
          <w:tcPr>
            <w:tcW w:w="5898" w:type="dxa"/>
            <w:tcBorders/>
          </w:tcPr>
          <w:p>
            <w:pPr>
              <w:pStyle w:val="TableContents"/>
              <w:bidi w:val="0"/>
              <w:spacing w:before="0" w:after="0"/>
              <w:jc w:val="left"/>
              <w:rPr>
                <w:rFonts w:ascii="Times New Roman" w:hAnsi="Times New Roman"/>
                <w:sz w:val="20"/>
              </w:rPr>
            </w:pPr>
            <w:r>
              <w:rPr>
                <w:rFonts w:ascii="Times New Roman" w:hAnsi="Times New Roman"/>
                <w:sz w:val="20"/>
              </w:rPr>
              <w:t>venBio Global Strategic Fund IV, L.P.(2)</w:t>
            </w:r>
          </w:p>
        </w:tc>
        <w:tc>
          <w:tcPr>
            <w:tcW w:w="3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283"/>
              <w:jc w:val="right"/>
              <w:rPr/>
            </w:pPr>
            <w:r>
              <w:rPr/>
              <w:t>21,477,273</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376" w:type="dxa"/>
            <w:tcBorders/>
            <w:vAlign w:val="bottom"/>
          </w:tcPr>
          <w:p>
            <w:pPr>
              <w:pStyle w:val="TableContents"/>
              <w:bidi w:val="0"/>
              <w:spacing w:before="0" w:after="283"/>
              <w:jc w:val="right"/>
              <w:rPr/>
            </w:pPr>
            <w:r>
              <w:rPr/>
              <w:t>22,500,000</w:t>
            </w:r>
          </w:p>
        </w:tc>
        <w:tc>
          <w:tcPr>
            <w:tcW w:w="64"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shares of our Series A Preferred Stock purchased by Frazier Life Sciences XI, L.P., which beneficially owns more than 5% of our outstanding capital stock. James Topper, a member of our board of directors, is affiliated with Frazier Life Sciences XI, L.P.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shares of our Series A Preferred Stock purchased by venBio Global Strategic Fund IV, L.P., which beneficially owns more than 5% of our outstanding capital stock. Aaron Royston, a member of our board of directors, is affiliated with venBio Global Strategic Fund IV, L.P.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Series B Redeemable Convertible Preferred Stock Financing </w:t>
      </w:r>
    </w:p>
    <w:p>
      <w:pPr>
        <w:pStyle w:val="TextBody"/>
        <w:bidi w:val="0"/>
        <w:spacing w:before="120" w:after="0"/>
        <w:jc w:val="both"/>
        <w:rPr>
          <w:rFonts w:ascii="Times New Roman" w:hAnsi="Times New Roman"/>
          <w:sz w:val="20"/>
        </w:rPr>
      </w:pPr>
      <w:r>
        <w:rPr>
          <w:rFonts w:ascii="Times New Roman" w:hAnsi="Times New Roman"/>
          <w:sz w:val="20"/>
        </w:rPr>
        <w:t xml:space="preserve">In two closings in May 2024 and January 2025, we sold and issued an aggregate of 76,363,636 shares of our Series B redeemable convertible preferred stock (Series B Preferred Stock) at a price per share of $1.375 for total gross proceeds of approximately $105.0 million (the Series B Preferred Stock Financing). The Series B Financing is split into two equal tranches of $52.5 million. The first tranche funded on May 1, 2024. The second tranche funded on January 21, 2025. Each share of our Series B Preferred Stock will automatically convert into one share of our common stock in connection with the completion of this offering.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current investors’ rights agreement, as described below, holders of our Series B Preferred Stock are entitled to certain registration rights. See the section titled “Description of Capital Stock—Registration Rights” for additional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71"/>
        <w:gridCol w:w="353"/>
        <w:gridCol w:w="95"/>
        <w:gridCol w:w="1760"/>
        <w:gridCol w:w="60"/>
        <w:gridCol w:w="353"/>
        <w:gridCol w:w="175"/>
        <w:gridCol w:w="1375"/>
        <w:gridCol w:w="63"/>
      </w:tblGrid>
      <w:tr>
        <w:trPr/>
        <w:tc>
          <w:tcPr>
            <w:tcW w:w="5971"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97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Stockholder</w:t>
            </w:r>
          </w:p>
        </w:tc>
        <w:tc>
          <w:tcPr>
            <w:tcW w:w="353" w:type="dxa"/>
            <w:tcBorders/>
            <w:vAlign w:val="bottom"/>
          </w:tcPr>
          <w:p>
            <w:pPr>
              <w:pStyle w:val="TableContents"/>
              <w:bidi w:val="0"/>
              <w:spacing w:before="0" w:after="283"/>
              <w:jc w:val="left"/>
              <w:rPr/>
            </w:pPr>
            <w:r>
              <w:rPr/>
              <w:t>  </w:t>
            </w:r>
          </w:p>
        </w:tc>
        <w:tc>
          <w:tcPr>
            <w:tcW w:w="18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 Series B</w:t>
              <w:br/>
              <w:t>Preferred Stock</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Cash</w:t>
              <w:br/>
              <w:t>Purchase Price</w:t>
            </w:r>
          </w:p>
        </w:tc>
        <w:tc>
          <w:tcPr>
            <w:tcW w:w="63" w:type="dxa"/>
            <w:tcBorders/>
            <w:vAlign w:val="bottom"/>
          </w:tcPr>
          <w:p>
            <w:pPr>
              <w:pStyle w:val="TableContents"/>
              <w:bidi w:val="0"/>
              <w:spacing w:before="0" w:after="283"/>
              <w:jc w:val="left"/>
              <w:rPr/>
            </w:pPr>
            <w:r>
              <w:rPr/>
              <w:t> </w:t>
            </w:r>
          </w:p>
        </w:tc>
      </w:tr>
      <w:tr>
        <w:trPr/>
        <w:tc>
          <w:tcPr>
            <w:tcW w:w="59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Goldman Sachs &amp; Co. LLC(1)</w:t>
            </w:r>
          </w:p>
        </w:tc>
        <w:tc>
          <w:tcPr>
            <w:tcW w:w="353"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18,181,830</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375" w:type="dxa"/>
            <w:tcBorders/>
            <w:shd w:fill="CCEEFF" w:val="clear"/>
            <w:vAlign w:val="bottom"/>
          </w:tcPr>
          <w:p>
            <w:pPr>
              <w:pStyle w:val="TableContents"/>
              <w:bidi w:val="0"/>
              <w:spacing w:before="0" w:after="283"/>
              <w:jc w:val="right"/>
              <w:rPr/>
            </w:pPr>
            <w:r>
              <w:rPr/>
              <w:t>25,000,016</w:t>
            </w:r>
          </w:p>
        </w:tc>
        <w:tc>
          <w:tcPr>
            <w:tcW w:w="63" w:type="dxa"/>
            <w:tcBorders/>
            <w:shd w:fill="CCEEFF" w:val="clear"/>
            <w:vAlign w:val="bottom"/>
          </w:tcPr>
          <w:p>
            <w:pPr>
              <w:pStyle w:val="TableContents"/>
              <w:bidi w:val="0"/>
              <w:spacing w:before="0" w:after="283"/>
              <w:jc w:val="left"/>
              <w:rPr/>
            </w:pPr>
            <w:r>
              <w:rPr/>
              <w:t> </w:t>
            </w:r>
          </w:p>
        </w:tc>
      </w:tr>
      <w:tr>
        <w:trPr/>
        <w:tc>
          <w:tcPr>
            <w:tcW w:w="5971" w:type="dxa"/>
            <w:tcBorders/>
          </w:tcPr>
          <w:p>
            <w:pPr>
              <w:pStyle w:val="TableContents"/>
              <w:bidi w:val="0"/>
              <w:spacing w:before="0" w:after="0"/>
              <w:jc w:val="left"/>
              <w:rPr>
                <w:rFonts w:ascii="Times New Roman" w:hAnsi="Times New Roman"/>
                <w:sz w:val="20"/>
              </w:rPr>
            </w:pPr>
            <w:r>
              <w:rPr>
                <w:rFonts w:ascii="Times New Roman" w:hAnsi="Times New Roman"/>
                <w:sz w:val="20"/>
              </w:rPr>
              <w:t>Frazier Life Sciences XI, L.P.(2)</w:t>
            </w:r>
          </w:p>
        </w:tc>
        <w:tc>
          <w:tcPr>
            <w:tcW w:w="353"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11,054,544</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375" w:type="dxa"/>
            <w:tcBorders/>
            <w:vAlign w:val="bottom"/>
          </w:tcPr>
          <w:p>
            <w:pPr>
              <w:pStyle w:val="TableContents"/>
              <w:bidi w:val="0"/>
              <w:spacing w:before="0" w:after="283"/>
              <w:jc w:val="right"/>
              <w:rPr/>
            </w:pPr>
            <w:r>
              <w:rPr/>
              <w:t>15,199,998</w:t>
            </w:r>
          </w:p>
        </w:tc>
        <w:tc>
          <w:tcPr>
            <w:tcW w:w="63" w:type="dxa"/>
            <w:tcBorders/>
            <w:vAlign w:val="bottom"/>
          </w:tcPr>
          <w:p>
            <w:pPr>
              <w:pStyle w:val="TableContents"/>
              <w:bidi w:val="0"/>
              <w:spacing w:before="0" w:after="283"/>
              <w:jc w:val="left"/>
              <w:rPr/>
            </w:pPr>
            <w:r>
              <w:rPr/>
              <w:t> </w:t>
            </w:r>
          </w:p>
        </w:tc>
      </w:tr>
      <w:tr>
        <w:trPr/>
        <w:tc>
          <w:tcPr>
            <w:tcW w:w="59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venBio Global Strategic Fund IV, L.P.(3)</w:t>
            </w:r>
          </w:p>
        </w:tc>
        <w:tc>
          <w:tcPr>
            <w:tcW w:w="353"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7,636,362</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375" w:type="dxa"/>
            <w:tcBorders/>
            <w:shd w:fill="CCEEFF" w:val="clear"/>
            <w:vAlign w:val="bottom"/>
          </w:tcPr>
          <w:p>
            <w:pPr>
              <w:pStyle w:val="TableContents"/>
              <w:bidi w:val="0"/>
              <w:spacing w:before="0" w:after="283"/>
              <w:jc w:val="right"/>
              <w:rPr/>
            </w:pPr>
            <w:r>
              <w:rPr/>
              <w:t>10,499,998</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shares of our Series B Preferred Stock purchased by West Street Life Sciences I, LP, WSLS Offshore Investments, SLP, WSLS Emp Onshore Investments, L.P., WSLS Emp Offshore Investments, L.P. and Broad Street Principal Investments LLC, which together with their affiliates, hold more than 5% of our outstanding capital stock. Colin Walsh, a member of our board of directors, is affiliated with Goldman Sachs &amp; Co. LLC.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shares of our Series B Preferred Stock purchased by Frazier Life Sciences XI, L.P., which beneficially owns more than 5% of our outstanding capital stock. James Topper, a member of our board of directors, is affiliated with Frazier Life Sciences XI, L.P.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shares of our Series B Preferred Stock purchased by venBio Global Strategic Fund IV, L.P., which beneficially owns more than 5% of our outstanding capital stock. Aaron Royston, a member of our board of directors, is affiliated with venBio Global Strategic Fund IV, L.P.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Series C Redeemable Convertible Preferred Stock Financing </w:t>
      </w:r>
    </w:p>
    <w:p>
      <w:pPr>
        <w:pStyle w:val="TextBody"/>
        <w:bidi w:val="0"/>
        <w:spacing w:before="120" w:after="0"/>
        <w:jc w:val="both"/>
        <w:rPr>
          <w:rFonts w:ascii="Times New Roman" w:hAnsi="Times New Roman"/>
          <w:sz w:val="20"/>
        </w:rPr>
      </w:pPr>
      <w:r>
        <w:rPr>
          <w:rFonts w:ascii="Times New Roman" w:hAnsi="Times New Roman"/>
          <w:sz w:val="20"/>
        </w:rPr>
        <w:t xml:space="preserve">In March 2025, we sold and issued an aggregate of 65,454,544 shares of our Series C redeemable convertible preferred stock (Series C Preferred Stock) at a price per share of $1.375 for total gross proceeds of approximately $90.0 million (the Series C Preferred Stock Financing). Each share of our Series C Preferred Stock will automatically convert into one share of our common stock in connection with the completion of this offering. Pursuant to the IRA, as described below, holders of our Series C Preferred Stock are entitled to certain registration rights. See the section titled “Description of Capital Stock—Registration Rights” 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 following table summarizes the Series C Preferred Stock purchased by members of our board of directors or their affiliates and holders of more than 5% of our outstanding capital stock. Please refer to the section titled “Principal Stockholders” for additional information regarding the shares held by these entities.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98"/>
        <w:gridCol w:w="349"/>
        <w:gridCol w:w="96"/>
        <w:gridCol w:w="1838"/>
        <w:gridCol w:w="60"/>
        <w:gridCol w:w="349"/>
        <w:gridCol w:w="175"/>
        <w:gridCol w:w="1376"/>
        <w:gridCol w:w="64"/>
      </w:tblGrid>
      <w:tr>
        <w:trPr/>
        <w:tc>
          <w:tcPr>
            <w:tcW w:w="5898"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89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Stockholder</w:t>
            </w:r>
          </w:p>
        </w:tc>
        <w:tc>
          <w:tcPr>
            <w:tcW w:w="349" w:type="dxa"/>
            <w:tcBorders/>
            <w:vAlign w:val="bottom"/>
          </w:tcPr>
          <w:p>
            <w:pPr>
              <w:pStyle w:val="TableContents"/>
              <w:bidi w:val="0"/>
              <w:spacing w:before="0" w:after="283"/>
              <w:jc w:val="left"/>
              <w:rPr/>
            </w:pPr>
            <w:r>
              <w:rPr/>
              <w:t>  </w:t>
            </w:r>
          </w:p>
        </w:tc>
        <w:tc>
          <w:tcPr>
            <w:tcW w:w="19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 Series C</w:t>
              <w:br/>
              <w:t>Preferred Stock</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5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Cash</w:t>
              <w:br/>
              <w:t>Purchase Price</w:t>
            </w:r>
          </w:p>
        </w:tc>
        <w:tc>
          <w:tcPr>
            <w:tcW w:w="64" w:type="dxa"/>
            <w:tcBorders/>
            <w:vAlign w:val="bottom"/>
          </w:tcPr>
          <w:p>
            <w:pPr>
              <w:pStyle w:val="TableContents"/>
              <w:bidi w:val="0"/>
              <w:spacing w:before="0" w:after="283"/>
              <w:jc w:val="left"/>
              <w:rPr/>
            </w:pPr>
            <w:r>
              <w:rPr/>
              <w:t> </w:t>
            </w:r>
          </w:p>
        </w:tc>
      </w:tr>
      <w:tr>
        <w:trPr/>
        <w:tc>
          <w:tcPr>
            <w:tcW w:w="58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Deep Track Biotechnology Master Fund, Ltd(1)</w:t>
            </w:r>
          </w:p>
        </w:tc>
        <w:tc>
          <w:tcPr>
            <w:tcW w:w="349"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838" w:type="dxa"/>
            <w:tcBorders/>
            <w:shd w:fill="CCEEFF" w:val="clear"/>
            <w:vAlign w:val="bottom"/>
          </w:tcPr>
          <w:p>
            <w:pPr>
              <w:pStyle w:val="TableContents"/>
              <w:bidi w:val="0"/>
              <w:spacing w:before="0" w:after="283"/>
              <w:jc w:val="right"/>
              <w:rPr/>
            </w:pPr>
            <w:r>
              <w:rPr/>
              <w:t>18,181,818</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376" w:type="dxa"/>
            <w:tcBorders/>
            <w:shd w:fill="CCEEFF" w:val="clear"/>
            <w:vAlign w:val="bottom"/>
          </w:tcPr>
          <w:p>
            <w:pPr>
              <w:pStyle w:val="TableContents"/>
              <w:bidi w:val="0"/>
              <w:spacing w:before="0" w:after="283"/>
              <w:jc w:val="right"/>
              <w:rPr/>
            </w:pPr>
            <w:r>
              <w:rPr/>
              <w:t>25,000,000</w:t>
            </w:r>
          </w:p>
        </w:tc>
        <w:tc>
          <w:tcPr>
            <w:tcW w:w="64" w:type="dxa"/>
            <w:tcBorders/>
            <w:shd w:fill="CCEEFF" w:val="clear"/>
            <w:vAlign w:val="bottom"/>
          </w:tcPr>
          <w:p>
            <w:pPr>
              <w:pStyle w:val="TableContents"/>
              <w:bidi w:val="0"/>
              <w:spacing w:before="0" w:after="283"/>
              <w:jc w:val="left"/>
              <w:rPr/>
            </w:pPr>
            <w:r>
              <w:rPr/>
              <w:t> </w:t>
            </w:r>
          </w:p>
        </w:tc>
      </w:tr>
      <w:tr>
        <w:trPr/>
        <w:tc>
          <w:tcPr>
            <w:tcW w:w="5898" w:type="dxa"/>
            <w:tcBorders/>
          </w:tcPr>
          <w:p>
            <w:pPr>
              <w:pStyle w:val="TableContents"/>
              <w:bidi w:val="0"/>
              <w:spacing w:before="0" w:after="0"/>
              <w:jc w:val="left"/>
              <w:rPr>
                <w:rFonts w:ascii="Times New Roman" w:hAnsi="Times New Roman"/>
                <w:sz w:val="20"/>
              </w:rPr>
            </w:pPr>
            <w:r>
              <w:rPr>
                <w:rFonts w:ascii="Times New Roman" w:hAnsi="Times New Roman"/>
                <w:sz w:val="20"/>
              </w:rPr>
              <w:t>Frazier Life Sciences XI, L.P.(2)</w:t>
            </w:r>
          </w:p>
        </w:tc>
        <w:tc>
          <w:tcPr>
            <w:tcW w:w="3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283"/>
              <w:jc w:val="right"/>
              <w:rPr/>
            </w:pPr>
            <w:r>
              <w:rPr/>
              <w:t>8,930,685</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376" w:type="dxa"/>
            <w:tcBorders/>
            <w:vAlign w:val="bottom"/>
          </w:tcPr>
          <w:p>
            <w:pPr>
              <w:pStyle w:val="TableContents"/>
              <w:bidi w:val="0"/>
              <w:spacing w:before="0" w:after="283"/>
              <w:jc w:val="right"/>
              <w:rPr/>
            </w:pPr>
            <w:r>
              <w:rPr/>
              <w:t>12,279,692</w:t>
            </w:r>
          </w:p>
        </w:tc>
        <w:tc>
          <w:tcPr>
            <w:tcW w:w="64" w:type="dxa"/>
            <w:tcBorders/>
            <w:vAlign w:val="bottom"/>
          </w:tcPr>
          <w:p>
            <w:pPr>
              <w:pStyle w:val="TableContents"/>
              <w:bidi w:val="0"/>
              <w:spacing w:before="0" w:after="283"/>
              <w:jc w:val="left"/>
              <w:rPr/>
            </w:pPr>
            <w:r>
              <w:rPr/>
              <w:t> </w:t>
            </w:r>
          </w:p>
        </w:tc>
      </w:tr>
      <w:tr>
        <w:trPr/>
        <w:tc>
          <w:tcPr>
            <w:tcW w:w="58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venBio Global Strategic Fund IV, L.P.(3)</w:t>
            </w:r>
          </w:p>
        </w:tc>
        <w:tc>
          <w:tcPr>
            <w:tcW w:w="349"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838" w:type="dxa"/>
            <w:tcBorders/>
            <w:shd w:fill="CCEEFF" w:val="clear"/>
            <w:vAlign w:val="bottom"/>
          </w:tcPr>
          <w:p>
            <w:pPr>
              <w:pStyle w:val="TableContents"/>
              <w:bidi w:val="0"/>
              <w:spacing w:before="0" w:after="283"/>
              <w:jc w:val="right"/>
              <w:rPr/>
            </w:pPr>
            <w:r>
              <w:rPr/>
              <w:t>6,179,219</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376" w:type="dxa"/>
            <w:tcBorders/>
            <w:shd w:fill="CCEEFF" w:val="clear"/>
            <w:vAlign w:val="bottom"/>
          </w:tcPr>
          <w:p>
            <w:pPr>
              <w:pStyle w:val="TableContents"/>
              <w:bidi w:val="0"/>
              <w:spacing w:before="0" w:after="283"/>
              <w:jc w:val="right"/>
              <w:rPr/>
            </w:pPr>
            <w:r>
              <w:rPr/>
              <w:t>8,496,426</w:t>
            </w:r>
          </w:p>
        </w:tc>
        <w:tc>
          <w:tcPr>
            <w:tcW w:w="64" w:type="dxa"/>
            <w:tcBorders/>
            <w:shd w:fill="CCEEFF" w:val="clear"/>
            <w:vAlign w:val="bottom"/>
          </w:tcPr>
          <w:p>
            <w:pPr>
              <w:pStyle w:val="TableContents"/>
              <w:bidi w:val="0"/>
              <w:spacing w:before="0" w:after="283"/>
              <w:jc w:val="left"/>
              <w:rPr/>
            </w:pPr>
            <w:r>
              <w:rPr/>
              <w:t> </w:t>
            </w:r>
          </w:p>
        </w:tc>
      </w:tr>
      <w:tr>
        <w:trPr/>
        <w:tc>
          <w:tcPr>
            <w:tcW w:w="5898"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Goldman Sachs &amp; Co. LLC(4)</w:t>
            </w:r>
          </w:p>
        </w:tc>
        <w:tc>
          <w:tcPr>
            <w:tcW w:w="3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283"/>
              <w:jc w:val="right"/>
              <w:rPr/>
            </w:pPr>
            <w:r>
              <w:rPr/>
              <w:t>4,445,275</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376" w:type="dxa"/>
            <w:tcBorders/>
            <w:vAlign w:val="bottom"/>
          </w:tcPr>
          <w:p>
            <w:pPr>
              <w:pStyle w:val="TableContents"/>
              <w:bidi w:val="0"/>
              <w:spacing w:before="0" w:after="283"/>
              <w:jc w:val="right"/>
              <w:rPr/>
            </w:pPr>
            <w:r>
              <w:rPr/>
              <w:t>6,112,253</w:t>
            </w:r>
          </w:p>
        </w:tc>
        <w:tc>
          <w:tcPr>
            <w:tcW w:w="64"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shares of our Series C Preferred Stock purchased by Deep Track Biotechnology Master Fund, Ltd, which beneficially owns more than 5% of our outstanding capital stock. Rebecca Luse, a member of our board of directors, is affiliated with Deep Track Biotechnology Master Fund, Ltd.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shares of our Series C Preferred Stock purchased by Frazier Life Sciences XI, L.P., which beneficially owns more than 5% of our outstanding capital stock. James Topper, a member of our board of directors, is affiliated with Frazier Life Sciences XI, L.P.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shares of our Series C Preferred Stock purchased by venBio Global Strategic Fund IV, L.P., which beneficially owns more than 5% of our outstanding capital stock. Aaron Royston, a member of our board of directors, is affiliated with venBio Global Strategic Fund IV, L.P.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shares of our Series C Preferred Stock purchased by West Street Life Sciences I, LP, WSLS Offshore Investments, SLP, WSLS Emp Onshore Investments, L.P., WSLS Emp Offshore Investments, L.P. and Broad Street Principal Investments LLC, which together with their affiliates, hold more than 5% of our outstanding capital stock. Colin Walsh, a member of our board of directors, is affiliated with Goldman Sachs &amp; Co. LLC.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Investors’ Rights Agreement </w:t>
      </w:r>
    </w:p>
    <w:p>
      <w:pPr>
        <w:pStyle w:val="TextBody"/>
        <w:bidi w:val="0"/>
        <w:spacing w:before="120" w:after="0"/>
        <w:jc w:val="both"/>
        <w:rPr>
          <w:rFonts w:ascii="Times New Roman" w:hAnsi="Times New Roman"/>
          <w:sz w:val="20"/>
        </w:rPr>
      </w:pPr>
      <w:r>
        <w:rPr>
          <w:rFonts w:ascii="Times New Roman" w:hAnsi="Times New Roman"/>
          <w:sz w:val="20"/>
        </w:rPr>
        <w:t xml:space="preserve">In connection with our Series C Preferred Stock financing, we entered into the IRA with certain holders of our redeemable convertible preferred stock, including entities with which certain of our directors are affiliated and who hold more than 5% of our outstanding common stock. Under the IRA, these stockholders are entitled to rights with respect to the registration of their shares under the Securities Act following this offering, and the registration rights provisions included in the IRA will not terminate as a result of this offering. See the section titled “Description of Capital Stock—Registration Rights” for additional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Agreements </w:t>
      </w:r>
    </w:p>
    <w:p>
      <w:pPr>
        <w:pStyle w:val="TextBody"/>
        <w:bidi w:val="0"/>
        <w:spacing w:before="120" w:after="0"/>
        <w:jc w:val="both"/>
        <w:rPr>
          <w:rFonts w:ascii="Times New Roman" w:hAnsi="Times New Roman"/>
          <w:sz w:val="20"/>
        </w:rPr>
      </w:pPr>
      <w:r>
        <w:rPr>
          <w:rFonts w:ascii="Times New Roman" w:hAnsi="Times New Roman"/>
          <w:sz w:val="20"/>
        </w:rPr>
        <w:t xml:space="preserve">We have entered into indemnification agreements with each of our directors and executive officers, including in connection with this offering. The indemnification agreements, our restated certificate of incorporation and our restated bylaws will require us to indemnify our directors to the fullest extent permitted by Delaware law. Subject to certain limitations, our restated bylaws also require us to advance expenses incurred by our directors and executive officers. See the section titled “Executive Compensation—Limitations on Liability and Indemnification Matters” for additional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Policies and Procedures for Related Party Transactions </w:t>
      </w:r>
    </w:p>
    <w:p>
      <w:pPr>
        <w:pStyle w:val="TextBody"/>
        <w:bidi w:val="0"/>
        <w:spacing w:before="120" w:after="0"/>
        <w:jc w:val="both"/>
        <w:rPr>
          <w:rFonts w:ascii="Times New Roman" w:hAnsi="Times New Roman"/>
          <w:sz w:val="20"/>
        </w:rPr>
      </w:pPr>
      <w:r>
        <w:rPr>
          <w:rFonts w:ascii="Times New Roman" w:hAnsi="Times New Roman"/>
          <w:sz w:val="20"/>
        </w:rPr>
        <w:t xml:space="preserve">In connection with this offering, we intend to adopt a written related person transactions policy that provides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 event it is inappropriate for our audit committee to review such transaction due to a conflict of interest. We expect the policy to provide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(or the committee composed solely of independent directors, if applicable) for review, consideration and approval. In approving or rejecting any such proposal, we expect that our audit committee (or the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composed solely of independent directors, if applicable) will consider the relevant facts and circumstances available and deemed relevant to the audit committee (or the committee composed solely of independent directors, if applicable), including, but not limited to, whether the transaction is on terms no less favorable than terms generally available to an unaffiliated third party under the same or similar circumstances and the extent of the related person’s interest in the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6" w:name="tx40469_14"/>
      <w:bookmarkEnd w:id="16"/>
      <w:r>
        <w:rPr>
          <w:rFonts w:ascii="Times New Roman" w:hAnsi="Times New Roman"/>
          <w:b/>
          <w:sz w:val="20"/>
        </w:rPr>
        <w:t xml:space="preserve">PRINCIPAL STOCKHOLDERS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and accompanying footnotes set forth certain information with respect to the beneficial ownership of shares of our common stock as of July 15, 2026, and as adjusted to reflect the shares of our common stock to be issued and sold in this offering,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2"/>
        <w:gridCol w:w="9287"/>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of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of our named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all of our current directors and executive officers as a group;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person, or group of affiliated persons, known by us to be the beneficial owner of more than 5% of the outstanding shares of our common stock.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have determined beneficial ownership in accordance with the rules of the SEC. Except as indicated by the footnotes below, to our knowledge, the persons and entities named in the table below have sole voting and sole investment power with respect to all shares of our common stock that they beneficially owned, subject to applicable community property laws. </w:t>
      </w:r>
    </w:p>
    <w:p>
      <w:pPr>
        <w:pStyle w:val="TextBody"/>
        <w:bidi w:val="0"/>
        <w:spacing w:before="240" w:after="0"/>
        <w:jc w:val="both"/>
        <w:rPr>
          <w:rFonts w:ascii="Times New Roman" w:hAnsi="Times New Roman"/>
          <w:sz w:val="20"/>
        </w:rPr>
      </w:pPr>
      <w:r>
        <w:rPr>
          <w:rFonts w:ascii="Times New Roman" w:hAnsi="Times New Roman"/>
          <w:sz w:val="20"/>
        </w:rPr>
        <w:t xml:space="preserve">The percentage of shares beneficially owned prior to this offering is based on 26,097,458 shares of our common stock outstanding as of July 15, 2026, including shares of unvested restricted stock subject to repurchase, including the automatic conversion of all outstanding shares of our redeemable convertible preferred stock as of July 15, 2026 into an aggregate of 21,517,976 shares of our common stock in connection with the completion of this offering. The percentage of beneficial ownership after this offering is based on 43,097,458 shares of our common stock outstanding, assuming (i) the automatic conversion of all outstanding shares of our redeemable convertible preferred stock into shares of our common stock as described above and (ii) the issuance of 17,000,000 shares of our common stock in this offering, assuming that the underwriters do not exercise their over-allotment option in part or in full. In computing the number of shares of common stock beneficially owned by a person and the percentage ownership of that person, we deemed to be outstanding all shares of common stock subject to stock options held by that person or entity that are currently exercisable or that will become exercisable within 60 days of July 15, 2026. We did not deem these shares outstanding, however, for the purpose of computing the percentage ownership of any other person. </w:t>
      </w:r>
    </w:p>
    <w:p>
      <w:pPr>
        <w:pStyle w:val="TextBody"/>
        <w:bidi w:val="0"/>
        <w:spacing w:before="240" w:after="0"/>
        <w:jc w:val="both"/>
        <w:rPr>
          <w:rFonts w:ascii="Times New Roman" w:hAnsi="Times New Roman"/>
          <w:sz w:val="20"/>
        </w:rPr>
      </w:pPr>
      <w:r>
        <w:rPr>
          <w:rFonts w:ascii="Times New Roman" w:hAnsi="Times New Roman"/>
          <w:sz w:val="20"/>
        </w:rPr>
        <w:t xml:space="preserve">Unless otherwise indicated, the address of each beneficial owner listed in the table below is c/o Attovia Therapeutics, Inc., 1091 Industrial Road, San Carlos, California 94070.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53"/>
        <w:gridCol w:w="266"/>
        <w:gridCol w:w="68"/>
        <w:gridCol w:w="1128"/>
        <w:gridCol w:w="60"/>
        <w:gridCol w:w="266"/>
        <w:gridCol w:w="105"/>
        <w:gridCol w:w="788"/>
        <w:gridCol w:w="277"/>
        <w:gridCol w:w="218"/>
        <w:gridCol w:w="105"/>
        <w:gridCol w:w="788"/>
        <w:gridCol w:w="283"/>
      </w:tblGrid>
      <w:tr>
        <w:trPr/>
        <w:tc>
          <w:tcPr>
            <w:tcW w:w="5853" w:type="dxa"/>
            <w:tcBorders/>
            <w:vAlign w:val="center"/>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5853"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266" w:type="dxa"/>
            <w:vMerge w:val="restart"/>
            <w:tcBorders/>
            <w:vAlign w:val="bottom"/>
          </w:tcPr>
          <w:p>
            <w:pPr>
              <w:pStyle w:val="TableContents"/>
              <w:bidi w:val="0"/>
              <w:spacing w:before="0" w:after="283"/>
              <w:jc w:val="left"/>
              <w:rPr/>
            </w:pPr>
            <w:r>
              <w:rPr/>
              <w:t>  </w:t>
            </w:r>
          </w:p>
        </w:tc>
        <w:tc>
          <w:tcPr>
            <w:tcW w:w="1196"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w:t>
              <w:br/>
              <w:t>Beneficially</w:t>
              <w:br/>
              <w:t>Owned</w:t>
            </w:r>
          </w:p>
        </w:tc>
        <w:tc>
          <w:tcPr>
            <w:tcW w:w="60" w:type="dxa"/>
            <w:vMerge w:val="restart"/>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228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Percentage of</w:t>
              <w:br/>
              <w:t>Shares</w:t>
              <w:br/>
              <w:t>Beneficially</w:t>
              <w:br/>
              <w:t>Owned</w:t>
            </w:r>
          </w:p>
        </w:tc>
        <w:tc>
          <w:tcPr>
            <w:tcW w:w="283" w:type="dxa"/>
            <w:tcBorders/>
            <w:vAlign w:val="bottom"/>
          </w:tcPr>
          <w:p>
            <w:pPr>
              <w:pStyle w:val="TableContents"/>
              <w:bidi w:val="0"/>
              <w:spacing w:before="0" w:after="283"/>
              <w:jc w:val="left"/>
              <w:rPr/>
            </w:pPr>
            <w:r>
              <w:rPr/>
              <w:t> </w:t>
            </w:r>
          </w:p>
        </w:tc>
      </w:tr>
      <w:tr>
        <w:trPr/>
        <w:tc>
          <w:tcPr>
            <w:tcW w:w="5853" w:type="dxa"/>
            <w:vMerge w:val="continue"/>
            <w:tcBorders/>
            <w:vAlign w:val="bottom"/>
          </w:tcPr>
          <w:p>
            <w:pPr>
              <w:pStyle w:val="Normal"/>
              <w:bidi w:val="0"/>
              <w:jc w:val="left"/>
              <w:rPr/>
            </w:pPr>
            <w:r>
              <w:rPr/>
            </w:r>
          </w:p>
        </w:tc>
        <w:tc>
          <w:tcPr>
            <w:tcW w:w="266" w:type="dxa"/>
            <w:vMerge w:val="continue"/>
            <w:tcBorders/>
            <w:vAlign w:val="bottom"/>
          </w:tcPr>
          <w:p>
            <w:pPr>
              <w:pStyle w:val="Normal"/>
              <w:bidi w:val="0"/>
              <w:jc w:val="left"/>
              <w:rPr/>
            </w:pPr>
            <w:r>
              <w:rPr/>
            </w:r>
          </w:p>
        </w:tc>
        <w:tc>
          <w:tcPr>
            <w:tcW w:w="1196"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66" w:type="dxa"/>
            <w:tcBorders/>
            <w:vAlign w:val="bottom"/>
          </w:tcPr>
          <w:p>
            <w:pPr>
              <w:pStyle w:val="TableContents"/>
              <w:bidi w:val="0"/>
              <w:spacing w:before="0" w:after="283"/>
              <w:jc w:val="left"/>
              <w:rPr/>
            </w:pPr>
            <w:r>
              <w:rPr/>
              <w:t>  </w:t>
            </w:r>
          </w:p>
        </w:tc>
        <w:tc>
          <w:tcPr>
            <w:tcW w:w="8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Before</w:t>
              <w:br/>
              <w:t>Offering</w:t>
            </w:r>
          </w:p>
        </w:tc>
        <w:tc>
          <w:tcPr>
            <w:tcW w:w="27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8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After</w:t>
              <w:br/>
              <w:t>Offering</w:t>
            </w:r>
          </w:p>
        </w:tc>
        <w:tc>
          <w:tcPr>
            <w:tcW w:w="283" w:type="dxa"/>
            <w:tcBorders/>
            <w:vAlign w:val="bottom"/>
          </w:tcPr>
          <w:p>
            <w:pPr>
              <w:pStyle w:val="TableContents"/>
              <w:bidi w:val="0"/>
              <w:spacing w:before="0" w:after="283"/>
              <w:jc w:val="left"/>
              <w:rPr/>
            </w:pPr>
            <w:r>
              <w:rPr/>
              <w:t> </w:t>
            </w:r>
          </w:p>
        </w:tc>
      </w:tr>
      <w:tr>
        <w:trPr/>
        <w:tc>
          <w:tcPr>
            <w:tcW w:w="5853"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Greater than 5% Stockholders</w:t>
            </w:r>
          </w:p>
        </w:tc>
        <w:tc>
          <w:tcPr>
            <w:tcW w:w="26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12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788"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788"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r>
      <w:tr>
        <w:trPr/>
        <w:tc>
          <w:tcPr>
            <w:tcW w:w="5853" w:type="dxa"/>
            <w:tcBorders/>
          </w:tcPr>
          <w:p>
            <w:pPr>
              <w:pStyle w:val="TableContents"/>
              <w:bidi w:val="0"/>
              <w:spacing w:before="0" w:after="0"/>
              <w:jc w:val="left"/>
              <w:rPr>
                <w:rFonts w:ascii="Times New Roman" w:hAnsi="Times New Roman"/>
                <w:sz w:val="20"/>
              </w:rPr>
            </w:pPr>
            <w:r>
              <w:rPr>
                <w:rFonts w:ascii="Times New Roman" w:hAnsi="Times New Roman"/>
                <w:sz w:val="20"/>
              </w:rPr>
              <w:t>Frazier Life Sciences XI, L.P.(1)</w:t>
            </w:r>
          </w:p>
        </w:tc>
        <w:tc>
          <w:tcPr>
            <w:tcW w:w="26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5,565,980</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21.3</w:t>
            </w:r>
          </w:p>
        </w:tc>
        <w:tc>
          <w:tcPr>
            <w:tcW w:w="27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12.9</w:t>
            </w:r>
          </w:p>
        </w:tc>
        <w:tc>
          <w:tcPr>
            <w:tcW w:w="283" w:type="dxa"/>
            <w:tcBorders/>
            <w:vAlign w:val="bottom"/>
          </w:tcPr>
          <w:p>
            <w:pPr>
              <w:pStyle w:val="TableContents"/>
              <w:bidi w:val="0"/>
              <w:spacing w:before="0" w:after="283"/>
              <w:jc w:val="left"/>
              <w:rPr/>
            </w:pPr>
            <w:r>
              <w:rPr/>
              <w:t>% </w:t>
            </w:r>
          </w:p>
        </w:tc>
      </w:tr>
      <w:tr>
        <w:trPr/>
        <w:tc>
          <w:tcPr>
            <w:tcW w:w="58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Alamar HoldCo, LLC(2)</w:t>
            </w:r>
          </w:p>
        </w:tc>
        <w:tc>
          <w:tcPr>
            <w:tcW w:w="26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3,229,279</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12.4</w:t>
            </w:r>
          </w:p>
        </w:tc>
        <w:tc>
          <w:tcPr>
            <w:tcW w:w="27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7.5</w:t>
            </w:r>
          </w:p>
        </w:tc>
        <w:tc>
          <w:tcPr>
            <w:tcW w:w="283" w:type="dxa"/>
            <w:tcBorders/>
            <w:shd w:fill="CCEEFF" w:val="clear"/>
            <w:vAlign w:val="bottom"/>
          </w:tcPr>
          <w:p>
            <w:pPr>
              <w:pStyle w:val="TableContents"/>
              <w:bidi w:val="0"/>
              <w:spacing w:before="0" w:after="283"/>
              <w:jc w:val="left"/>
              <w:rPr/>
            </w:pPr>
            <w:r>
              <w:rPr/>
              <w:t>% </w:t>
            </w:r>
          </w:p>
        </w:tc>
      </w:tr>
      <w:tr>
        <w:trPr/>
        <w:tc>
          <w:tcPr>
            <w:tcW w:w="5853" w:type="dxa"/>
            <w:tcBorders/>
          </w:tcPr>
          <w:p>
            <w:pPr>
              <w:pStyle w:val="TableContents"/>
              <w:bidi w:val="0"/>
              <w:spacing w:before="0" w:after="0"/>
              <w:jc w:val="left"/>
              <w:rPr>
                <w:rFonts w:ascii="Times New Roman" w:hAnsi="Times New Roman"/>
                <w:sz w:val="20"/>
              </w:rPr>
            </w:pPr>
            <w:r>
              <w:rPr>
                <w:rFonts w:ascii="Times New Roman" w:hAnsi="Times New Roman"/>
                <w:sz w:val="20"/>
              </w:rPr>
              <w:t>venBio Global Strategic Fund IV, L.P.(3)</w:t>
            </w:r>
          </w:p>
        </w:tc>
        <w:tc>
          <w:tcPr>
            <w:tcW w:w="26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3,799,016</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14.6</w:t>
            </w:r>
          </w:p>
        </w:tc>
        <w:tc>
          <w:tcPr>
            <w:tcW w:w="27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8.8</w:t>
            </w:r>
          </w:p>
        </w:tc>
        <w:tc>
          <w:tcPr>
            <w:tcW w:w="283" w:type="dxa"/>
            <w:tcBorders/>
            <w:vAlign w:val="bottom"/>
          </w:tcPr>
          <w:p>
            <w:pPr>
              <w:pStyle w:val="TableContents"/>
              <w:bidi w:val="0"/>
              <w:spacing w:before="0" w:after="283"/>
              <w:jc w:val="left"/>
              <w:rPr/>
            </w:pPr>
            <w:r>
              <w:rPr/>
              <w:t>% </w:t>
            </w:r>
          </w:p>
        </w:tc>
      </w:tr>
      <w:tr>
        <w:trPr/>
        <w:tc>
          <w:tcPr>
            <w:tcW w:w="58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Goldman Sachs &amp; Co. LLC(4)</w:t>
            </w:r>
          </w:p>
        </w:tc>
        <w:tc>
          <w:tcPr>
            <w:tcW w:w="26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2,435,641</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9.3</w:t>
            </w:r>
          </w:p>
        </w:tc>
        <w:tc>
          <w:tcPr>
            <w:tcW w:w="27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5.7</w:t>
            </w:r>
          </w:p>
        </w:tc>
        <w:tc>
          <w:tcPr>
            <w:tcW w:w="283" w:type="dxa"/>
            <w:tcBorders/>
            <w:shd w:fill="CCEEFF" w:val="clear"/>
            <w:vAlign w:val="bottom"/>
          </w:tcPr>
          <w:p>
            <w:pPr>
              <w:pStyle w:val="TableContents"/>
              <w:bidi w:val="0"/>
              <w:spacing w:before="0" w:after="283"/>
              <w:jc w:val="left"/>
              <w:rPr/>
            </w:pPr>
            <w:r>
              <w:rPr/>
              <w:t>% </w:t>
            </w:r>
          </w:p>
        </w:tc>
      </w:tr>
      <w:tr>
        <w:trPr/>
        <w:tc>
          <w:tcPr>
            <w:tcW w:w="5853" w:type="dxa"/>
            <w:tcBorders/>
          </w:tcPr>
          <w:p>
            <w:pPr>
              <w:pStyle w:val="TableContents"/>
              <w:bidi w:val="0"/>
              <w:spacing w:before="0" w:after="0"/>
              <w:jc w:val="left"/>
              <w:rPr>
                <w:rFonts w:ascii="Times New Roman" w:hAnsi="Times New Roman"/>
                <w:sz w:val="20"/>
              </w:rPr>
            </w:pPr>
            <w:r>
              <w:rPr>
                <w:rFonts w:ascii="Times New Roman" w:hAnsi="Times New Roman"/>
                <w:sz w:val="20"/>
              </w:rPr>
              <w:t>Deep Track Biotechnology Master Fund, Ltd(5)</w:t>
            </w:r>
          </w:p>
        </w:tc>
        <w:tc>
          <w:tcPr>
            <w:tcW w:w="26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1,957,139</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7.5</w:t>
            </w:r>
          </w:p>
        </w:tc>
        <w:tc>
          <w:tcPr>
            <w:tcW w:w="27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4.5</w:t>
            </w:r>
          </w:p>
        </w:tc>
        <w:tc>
          <w:tcPr>
            <w:tcW w:w="283" w:type="dxa"/>
            <w:tcBorders/>
            <w:vAlign w:val="bottom"/>
          </w:tcPr>
          <w:p>
            <w:pPr>
              <w:pStyle w:val="TableContents"/>
              <w:bidi w:val="0"/>
              <w:spacing w:before="0" w:after="283"/>
              <w:jc w:val="left"/>
              <w:rPr/>
            </w:pPr>
            <w:r>
              <w:rPr/>
              <w:t>% </w:t>
            </w:r>
          </w:p>
        </w:tc>
      </w:tr>
      <w:tr>
        <w:trPr>
          <w:trHeight w:val="120" w:hRule="atLeast"/>
        </w:trPr>
        <w:tc>
          <w:tcPr>
            <w:tcW w:w="5853" w:type="dxa"/>
            <w:tcBorders/>
            <w:vAlign w:val="center"/>
          </w:tcPr>
          <w:p>
            <w:pPr>
              <w:pStyle w:val="TableContents"/>
              <w:bidi w:val="0"/>
              <w:spacing w:before="0" w:after="283"/>
              <w:jc w:val="left"/>
              <w:rPr>
                <w:sz w:val="4"/>
                <w:szCs w:val="4"/>
              </w:rPr>
            </w:pPr>
            <w:r>
              <w:rPr>
                <w:sz w:val="4"/>
                <w:szCs w:val="4"/>
              </w:rPr>
            </w:r>
          </w:p>
        </w:tc>
        <w:tc>
          <w:tcPr>
            <w:tcW w:w="1522" w:type="dxa"/>
            <w:gridSpan w:val="4"/>
            <w:tcBorders/>
            <w:vAlign w:val="center"/>
          </w:tcPr>
          <w:p>
            <w:pPr>
              <w:pStyle w:val="TableContents"/>
              <w:bidi w:val="0"/>
              <w:spacing w:before="0" w:after="283"/>
              <w:jc w:val="left"/>
              <w:rPr>
                <w:sz w:val="4"/>
                <w:szCs w:val="4"/>
              </w:rPr>
            </w:pPr>
            <w:r>
              <w:rPr>
                <w:sz w:val="4"/>
                <w:szCs w:val="4"/>
              </w:rPr>
            </w:r>
          </w:p>
        </w:tc>
        <w:tc>
          <w:tcPr>
            <w:tcW w:w="1436" w:type="dxa"/>
            <w:gridSpan w:val="4"/>
            <w:tcBorders/>
            <w:vAlign w:val="center"/>
          </w:tcPr>
          <w:p>
            <w:pPr>
              <w:pStyle w:val="TableContents"/>
              <w:bidi w:val="0"/>
              <w:spacing w:before="0" w:after="283"/>
              <w:jc w:val="left"/>
              <w:rPr>
                <w:sz w:val="4"/>
                <w:szCs w:val="4"/>
              </w:rPr>
            </w:pPr>
            <w:r>
              <w:rPr>
                <w:sz w:val="4"/>
                <w:szCs w:val="4"/>
              </w:rPr>
            </w:r>
          </w:p>
        </w:tc>
        <w:tc>
          <w:tcPr>
            <w:tcW w:w="1394" w:type="dxa"/>
            <w:gridSpan w:val="4"/>
            <w:tcBorders/>
            <w:vAlign w:val="center"/>
          </w:tcPr>
          <w:p>
            <w:pPr>
              <w:pStyle w:val="TableContents"/>
              <w:bidi w:val="0"/>
              <w:spacing w:before="0" w:after="283"/>
              <w:jc w:val="left"/>
              <w:rPr>
                <w:sz w:val="4"/>
                <w:szCs w:val="4"/>
              </w:rPr>
            </w:pPr>
            <w:r>
              <w:rPr>
                <w:sz w:val="4"/>
                <w:szCs w:val="4"/>
              </w:rPr>
            </w:r>
          </w:p>
        </w:tc>
      </w:tr>
      <w:tr>
        <w:trPr/>
        <w:tc>
          <w:tcPr>
            <w:tcW w:w="5853"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Directors and Named Executive Officers</w:t>
            </w:r>
          </w:p>
        </w:tc>
        <w:tc>
          <w:tcPr>
            <w:tcW w:w="26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12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788"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788"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r>
      <w:tr>
        <w:trPr/>
        <w:tc>
          <w:tcPr>
            <w:tcW w:w="5853" w:type="dxa"/>
            <w:tcBorders/>
          </w:tcPr>
          <w:p>
            <w:pPr>
              <w:pStyle w:val="TableContents"/>
              <w:bidi w:val="0"/>
              <w:spacing w:before="0" w:after="0"/>
              <w:jc w:val="left"/>
              <w:rPr>
                <w:rFonts w:ascii="Times New Roman" w:hAnsi="Times New Roman"/>
                <w:sz w:val="20"/>
              </w:rPr>
            </w:pPr>
            <w:r>
              <w:rPr>
                <w:rFonts w:ascii="Times New Roman" w:hAnsi="Times New Roman"/>
                <w:sz w:val="20"/>
              </w:rPr>
              <w:t>Tao Fu(6)</w:t>
            </w:r>
          </w:p>
        </w:tc>
        <w:tc>
          <w:tcPr>
            <w:tcW w:w="26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893,456</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3.4</w:t>
            </w:r>
          </w:p>
        </w:tc>
        <w:tc>
          <w:tcPr>
            <w:tcW w:w="27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2.1</w:t>
            </w:r>
          </w:p>
        </w:tc>
        <w:tc>
          <w:tcPr>
            <w:tcW w:w="283" w:type="dxa"/>
            <w:tcBorders/>
            <w:vAlign w:val="bottom"/>
          </w:tcPr>
          <w:p>
            <w:pPr>
              <w:pStyle w:val="TableContents"/>
              <w:bidi w:val="0"/>
              <w:spacing w:before="0" w:after="283"/>
              <w:jc w:val="left"/>
              <w:rPr/>
            </w:pPr>
            <w:r>
              <w:rPr/>
              <w:t>% </w:t>
            </w:r>
          </w:p>
        </w:tc>
      </w:tr>
      <w:tr>
        <w:trPr/>
        <w:tc>
          <w:tcPr>
            <w:tcW w:w="58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Petter Veiby(7)</w:t>
            </w:r>
          </w:p>
        </w:tc>
        <w:tc>
          <w:tcPr>
            <w:tcW w:w="26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212,258</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w:t>
            </w:r>
          </w:p>
        </w:tc>
        <w:tc>
          <w:tcPr>
            <w:tcW w:w="27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w:t>
            </w:r>
          </w:p>
        </w:tc>
        <w:tc>
          <w:tcPr>
            <w:tcW w:w="283" w:type="dxa"/>
            <w:tcBorders/>
            <w:shd w:fill="CCEEFF" w:val="clear"/>
            <w:vAlign w:val="bottom"/>
          </w:tcPr>
          <w:p>
            <w:pPr>
              <w:pStyle w:val="TableContents"/>
              <w:bidi w:val="0"/>
              <w:spacing w:before="0" w:after="283"/>
              <w:jc w:val="left"/>
              <w:rPr/>
            </w:pPr>
            <w:r>
              <w:rPr/>
              <w:t> </w:t>
            </w:r>
          </w:p>
        </w:tc>
      </w:tr>
      <w:tr>
        <w:trPr/>
        <w:tc>
          <w:tcPr>
            <w:tcW w:w="5853" w:type="dxa"/>
            <w:tcBorders/>
          </w:tcPr>
          <w:p>
            <w:pPr>
              <w:pStyle w:val="TableContents"/>
              <w:bidi w:val="0"/>
              <w:spacing w:before="0" w:after="0"/>
              <w:jc w:val="left"/>
              <w:rPr>
                <w:rFonts w:ascii="Times New Roman" w:hAnsi="Times New Roman"/>
                <w:sz w:val="20"/>
              </w:rPr>
            </w:pPr>
            <w:r>
              <w:rPr>
                <w:rFonts w:ascii="Times New Roman" w:hAnsi="Times New Roman"/>
                <w:sz w:val="20"/>
              </w:rPr>
              <w:t>Hubert Chen(8)</w:t>
            </w:r>
          </w:p>
        </w:tc>
        <w:tc>
          <w:tcPr>
            <w:tcW w:w="26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153,279</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w:t>
            </w:r>
          </w:p>
        </w:tc>
        <w:tc>
          <w:tcPr>
            <w:tcW w:w="27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w:t>
            </w:r>
          </w:p>
        </w:tc>
        <w:tc>
          <w:tcPr>
            <w:tcW w:w="283" w:type="dxa"/>
            <w:tcBorders/>
            <w:vAlign w:val="bottom"/>
          </w:tcPr>
          <w:p>
            <w:pPr>
              <w:pStyle w:val="TableContents"/>
              <w:bidi w:val="0"/>
              <w:spacing w:before="0" w:after="283"/>
              <w:jc w:val="left"/>
              <w:rPr/>
            </w:pPr>
            <w:r>
              <w:rPr/>
              <w:t> </w:t>
            </w:r>
          </w:p>
        </w:tc>
      </w:tr>
      <w:tr>
        <w:trPr/>
        <w:tc>
          <w:tcPr>
            <w:tcW w:w="58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Mitchell Gold(9)</w:t>
            </w:r>
          </w:p>
        </w:tc>
        <w:tc>
          <w:tcPr>
            <w:tcW w:w="26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41,873</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w:t>
            </w:r>
          </w:p>
        </w:tc>
        <w:tc>
          <w:tcPr>
            <w:tcW w:w="27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w:t>
            </w:r>
          </w:p>
        </w:tc>
        <w:tc>
          <w:tcPr>
            <w:tcW w:w="283" w:type="dxa"/>
            <w:tcBorders/>
            <w:shd w:fill="CCEEFF" w:val="clear"/>
            <w:vAlign w:val="bottom"/>
          </w:tcPr>
          <w:p>
            <w:pPr>
              <w:pStyle w:val="TableContents"/>
              <w:bidi w:val="0"/>
              <w:spacing w:before="0" w:after="283"/>
              <w:jc w:val="left"/>
              <w:rPr/>
            </w:pPr>
            <w:r>
              <w:rPr/>
              <w:t> </w:t>
            </w:r>
          </w:p>
        </w:tc>
      </w:tr>
      <w:tr>
        <w:trPr/>
        <w:tc>
          <w:tcPr>
            <w:tcW w:w="5853" w:type="dxa"/>
            <w:tcBorders/>
          </w:tcPr>
          <w:p>
            <w:pPr>
              <w:pStyle w:val="TableContents"/>
              <w:bidi w:val="0"/>
              <w:spacing w:before="0" w:after="0"/>
              <w:jc w:val="left"/>
              <w:rPr>
                <w:rFonts w:ascii="Times New Roman" w:hAnsi="Times New Roman"/>
                <w:sz w:val="20"/>
              </w:rPr>
            </w:pPr>
            <w:r>
              <w:rPr>
                <w:rFonts w:ascii="Times New Roman" w:hAnsi="Times New Roman"/>
                <w:sz w:val="20"/>
              </w:rPr>
              <w:t>Rebecca Luse</w:t>
            </w:r>
          </w:p>
        </w:tc>
        <w:tc>
          <w:tcPr>
            <w:tcW w:w="266" w:type="dxa"/>
            <w:tcBorders/>
            <w:vAlign w:val="bottom"/>
          </w:tcPr>
          <w:p>
            <w:pPr>
              <w:pStyle w:val="TableContents"/>
              <w:bidi w:val="0"/>
              <w:spacing w:before="0" w:after="283"/>
              <w:jc w:val="left"/>
              <w:rPr/>
            </w:pPr>
            <w:r>
              <w:rPr/>
              <w:t>  </w:t>
            </w:r>
          </w:p>
        </w:tc>
        <w:tc>
          <w:tcPr>
            <w:tcW w:w="68" w:type="dxa"/>
            <w:tcBorders/>
          </w:tcPr>
          <w:p>
            <w:pPr>
              <w:pStyle w:val="TableContents"/>
              <w:bidi w:val="0"/>
              <w:spacing w:before="0" w:after="283"/>
              <w:jc w:val="left"/>
              <w:rPr/>
            </w:pPr>
            <w:r>
              <w:rPr/>
              <w:t> </w:t>
            </w:r>
          </w:p>
        </w:tc>
        <w:tc>
          <w:tcPr>
            <w:tcW w:w="1128"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— </w:t>
            </w:r>
          </w:p>
        </w:tc>
        <w:tc>
          <w:tcPr>
            <w:tcW w:w="27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675"/>
        <w:gridCol w:w="317"/>
        <w:gridCol w:w="68"/>
        <w:gridCol w:w="1180"/>
        <w:gridCol w:w="60"/>
        <w:gridCol w:w="317"/>
        <w:gridCol w:w="119"/>
        <w:gridCol w:w="757"/>
        <w:gridCol w:w="290"/>
        <w:gridCol w:w="266"/>
        <w:gridCol w:w="119"/>
        <w:gridCol w:w="757"/>
        <w:gridCol w:w="280"/>
      </w:tblGrid>
      <w:tr>
        <w:trPr/>
        <w:tc>
          <w:tcPr>
            <w:tcW w:w="5675"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5675"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317" w:type="dxa"/>
            <w:vMerge w:val="restart"/>
            <w:tcBorders/>
            <w:vAlign w:val="bottom"/>
          </w:tcPr>
          <w:p>
            <w:pPr>
              <w:pStyle w:val="TableContents"/>
              <w:bidi w:val="0"/>
              <w:spacing w:before="0" w:after="283"/>
              <w:jc w:val="left"/>
              <w:rPr/>
            </w:pPr>
            <w:r>
              <w:rPr/>
              <w:t>  </w:t>
            </w:r>
          </w:p>
        </w:tc>
        <w:tc>
          <w:tcPr>
            <w:tcW w:w="1248"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w:t>
              <w:br/>
              <w:t>Beneficially</w:t>
              <w:br/>
              <w:t>Owned</w:t>
            </w:r>
          </w:p>
        </w:tc>
        <w:tc>
          <w:tcPr>
            <w:tcW w:w="60" w:type="dxa"/>
            <w:vMerge w:val="restart"/>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230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Percentage of</w:t>
              <w:br/>
              <w:t>Shares</w:t>
              <w:br/>
              <w:t>Beneficially</w:t>
              <w:br/>
              <w:t>Owned</w:t>
            </w:r>
          </w:p>
        </w:tc>
        <w:tc>
          <w:tcPr>
            <w:tcW w:w="280" w:type="dxa"/>
            <w:tcBorders/>
            <w:vAlign w:val="bottom"/>
          </w:tcPr>
          <w:p>
            <w:pPr>
              <w:pStyle w:val="TableContents"/>
              <w:bidi w:val="0"/>
              <w:spacing w:before="0" w:after="283"/>
              <w:jc w:val="left"/>
              <w:rPr/>
            </w:pPr>
            <w:r>
              <w:rPr/>
              <w:t> </w:t>
            </w:r>
          </w:p>
        </w:tc>
      </w:tr>
      <w:tr>
        <w:trPr/>
        <w:tc>
          <w:tcPr>
            <w:tcW w:w="5675" w:type="dxa"/>
            <w:vMerge w:val="continue"/>
            <w:tcBorders/>
            <w:vAlign w:val="bottom"/>
          </w:tcPr>
          <w:p>
            <w:pPr>
              <w:pStyle w:val="Normal"/>
              <w:bidi w:val="0"/>
              <w:jc w:val="left"/>
              <w:rPr/>
            </w:pPr>
            <w:r>
              <w:rPr/>
            </w:r>
          </w:p>
        </w:tc>
        <w:tc>
          <w:tcPr>
            <w:tcW w:w="317" w:type="dxa"/>
            <w:vMerge w:val="continue"/>
            <w:tcBorders/>
            <w:vAlign w:val="bottom"/>
          </w:tcPr>
          <w:p>
            <w:pPr>
              <w:pStyle w:val="Normal"/>
              <w:bidi w:val="0"/>
              <w:jc w:val="left"/>
              <w:rPr/>
            </w:pPr>
            <w:r>
              <w:rPr/>
            </w:r>
          </w:p>
        </w:tc>
        <w:tc>
          <w:tcPr>
            <w:tcW w:w="1248"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317" w:type="dxa"/>
            <w:tcBorders/>
            <w:vAlign w:val="bottom"/>
          </w:tcPr>
          <w:p>
            <w:pPr>
              <w:pStyle w:val="TableContents"/>
              <w:bidi w:val="0"/>
              <w:spacing w:before="0" w:after="283"/>
              <w:jc w:val="left"/>
              <w:rPr/>
            </w:pPr>
            <w:r>
              <w:rPr/>
              <w:t>  </w:t>
            </w:r>
          </w:p>
        </w:tc>
        <w:tc>
          <w:tcPr>
            <w:tcW w:w="8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Before</w:t>
              <w:br/>
              <w:t>Offering</w:t>
            </w:r>
          </w:p>
        </w:tc>
        <w:tc>
          <w:tcPr>
            <w:tcW w:w="29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8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After</w:t>
              <w:br/>
              <w:t>Offering</w:t>
            </w:r>
          </w:p>
        </w:tc>
        <w:tc>
          <w:tcPr>
            <w:tcW w:w="280" w:type="dxa"/>
            <w:tcBorders/>
            <w:vAlign w:val="bottom"/>
          </w:tcPr>
          <w:p>
            <w:pPr>
              <w:pStyle w:val="TableContents"/>
              <w:bidi w:val="0"/>
              <w:spacing w:before="0" w:after="283"/>
              <w:jc w:val="left"/>
              <w:rPr/>
            </w:pPr>
            <w:r>
              <w:rPr/>
              <w:t> </w:t>
            </w:r>
          </w:p>
        </w:tc>
      </w:tr>
      <w:tr>
        <w:trPr/>
        <w:tc>
          <w:tcPr>
            <w:tcW w:w="56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Aaron Royston</w:t>
            </w:r>
          </w:p>
        </w:tc>
        <w:tc>
          <w:tcPr>
            <w:tcW w:w="31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5675" w:type="dxa"/>
            <w:tcBorders/>
          </w:tcPr>
          <w:p>
            <w:pPr>
              <w:pStyle w:val="TableContents"/>
              <w:bidi w:val="0"/>
              <w:spacing w:before="0" w:after="0"/>
              <w:jc w:val="left"/>
              <w:rPr>
                <w:rFonts w:ascii="Times New Roman" w:hAnsi="Times New Roman"/>
                <w:sz w:val="20"/>
              </w:rPr>
            </w:pPr>
            <w:r>
              <w:rPr>
                <w:rFonts w:ascii="Times New Roman" w:hAnsi="Times New Roman"/>
                <w:sz w:val="20"/>
              </w:rPr>
              <w:t>John W. Smither</w:t>
            </w:r>
          </w:p>
        </w:tc>
        <w:tc>
          <w:tcPr>
            <w:tcW w:w="31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r>
      <w:tr>
        <w:trPr/>
        <w:tc>
          <w:tcPr>
            <w:tcW w:w="56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James Topper</w:t>
            </w:r>
          </w:p>
        </w:tc>
        <w:tc>
          <w:tcPr>
            <w:tcW w:w="31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5675" w:type="dxa"/>
            <w:tcBorders/>
          </w:tcPr>
          <w:p>
            <w:pPr>
              <w:pStyle w:val="TableContents"/>
              <w:bidi w:val="0"/>
              <w:spacing w:before="0" w:after="0"/>
              <w:jc w:val="left"/>
              <w:rPr>
                <w:rFonts w:ascii="Times New Roman" w:hAnsi="Times New Roman"/>
                <w:sz w:val="20"/>
              </w:rPr>
            </w:pPr>
            <w:r>
              <w:rPr>
                <w:rFonts w:ascii="Times New Roman" w:hAnsi="Times New Roman"/>
                <w:sz w:val="20"/>
              </w:rPr>
              <w:t>Colin Walsh</w:t>
            </w:r>
          </w:p>
        </w:tc>
        <w:tc>
          <w:tcPr>
            <w:tcW w:w="31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r>
      <w:tr>
        <w:trPr/>
        <w:tc>
          <w:tcPr>
            <w:tcW w:w="56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Angie You(10)</w:t>
            </w:r>
          </w:p>
        </w:tc>
        <w:tc>
          <w:tcPr>
            <w:tcW w:w="31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59,490</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w:t>
            </w:r>
          </w:p>
        </w:tc>
        <w:tc>
          <w:tcPr>
            <w:tcW w:w="29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5675" w:type="dxa"/>
            <w:tcBorders/>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(12 persons)(11)</w:t>
            </w:r>
          </w:p>
        </w:tc>
        <w:tc>
          <w:tcPr>
            <w:tcW w:w="31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1,687,208</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6.3</w:t>
            </w:r>
          </w:p>
        </w:tc>
        <w:tc>
          <w:tcPr>
            <w:tcW w:w="29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3.9</w:t>
            </w:r>
          </w:p>
        </w:tc>
        <w:tc>
          <w:tcPr>
            <w:tcW w:w="280"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Represents beneficial ownership of less than 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5,565,980 shares of common stock held by Frazier Life Sciences XI, L.P. (FLS XI). FHMLS XI, L.P. (FHMLS XI) is the general partner of FLS XI, and FHMLS XI, L.L.C. is the general partner of FHMLS XI. FHMLS XI, L.L.C. is managed by an investment committee of three managing partners that acts by majority vote. Accordingly, no members of such committee are attributed beneficial ownership of the securities directly held by FLS XI. The address for each of the aforementioned entities is c/o Frazier Life Sciences, 1001 Page Mill Rd., Building 4, Suite B, Palo Alto, CA 94304. Each of the individual members of the investment committee of FHMLS XI, L.L.C., including Dr. Topper, declines beneficial ownership of the holdings of FLS XI except to the extent of his pecuniary interest therein.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3,229,279 shares of common stock held directly by Alamar HoldCo, LLC. The address for the entities is 47071 Bayside Pkwy, Fremont, CA 94538.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3,799,016 shares of common stock held by venBio Global Strategic Fund IV, L.P. (venBio). VenBio Global Strategic GP IV, LLC (GP IV) is the sole general partner of venBio. Robert Adelman, Richard Gaster, Aaron Royston, and Corey Goodman are members of GP IV, and therefore, Mr. Adelman, Mr. Goodman, Mr. Gaster, Mr. Royston and GP IV may be deemed to share voting and investment power with regard to the shares of common stock held by venBio. The address for each of the aforementioned entities is c/o venBio Partners, LLC, 1700 Owens Street, Suite 595, San Francisco, CA 94158.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(1) 468,567 shares of common stock held by Broad Street; (2) 670,814 shares of common stock held by WS I; (3) 639,519 shares of common stock held by WSLS Off; (4) 476,860 shares of common stock held by WSLS On; and (5) 179,881 shares of common stock held by WSLS OS. Broad Street is a wholly owned subsidiary of Goldman Sachs &amp; Co., LLC and may be a beneficial owner of common stock held by Broad Street. The address for each of the aforementioned entities is c/o Goldman Sachs &amp; Co. LLC, 200 West Street, 28th Floor, New York, NY 10282.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(1) 1,957,139 shares of common stock held by Deep Track Biotechnology Master Fund, Ltd. The address for the entity is 200 Greenwich Avenue, 3rd Floor, Greenwich, CT 06830.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(1) 87,848 shares of common stock held directly by Mr. Fu; (2) 245,425 shares of common stock held by Hai Fu Revocable Trust; (3) 99,182 shares of common stock held by TF 2025 Annuity Trust; (4) 116,103 shares of common stock held by TF 2026 Annuity Trust; and (5) 344,898 shares of common stock underlying stock options to purchase shares of common stock that are exercisable within 60 days of July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(1) 104,952 shares of common stock held directly by Mr. Veiby; and (2) 107,306 shares of common stock underlying stock options to purchase shares of common stock that are exercisable within 60 days of July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(1) 2,960 shares of common stock held directly by Dr. Chen; and (2) 150,318 shares of common stock underlying stock options to purchase shares of common stock that are exercisable within 60 days of July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41,873 shares of common stock underlying stock options to purchase shares of common stock that are exercisable within 60 days of July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(1) 52,853 shares of common stock held directly by Dr. You; and (2) 6,638 shares of common stock underlying stock options to purchase shares of common stock that are exercisable within 60 days of July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This total includes the securities beneficially owned by all of our directors and officers as a group, including, without limitation, the securities described in footnotes (6) through (10). It also includes an aggregate: (1) 812,592 shares of common stock; and (2) 874,616 shares of common stock underlying stock options to purchase shares of common stock that are exercisable within 60 days of July 15,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7" w:name="tx40469_15"/>
      <w:bookmarkEnd w:id="17"/>
      <w:r>
        <w:rPr>
          <w:rFonts w:ascii="Times New Roman" w:hAnsi="Times New Roman"/>
          <w:b/>
          <w:sz w:val="20"/>
        </w:rPr>
        <w:t xml:space="preserve">DESCRIPTION OF CAPITAL STOCK </w:t>
      </w:r>
    </w:p>
    <w:p>
      <w:pPr>
        <w:pStyle w:val="TextBody"/>
        <w:bidi w:val="0"/>
        <w:spacing w:before="240" w:after="0"/>
        <w:jc w:val="both"/>
        <w:rPr>
          <w:rFonts w:ascii="Times New Roman" w:hAnsi="Times New Roman"/>
          <w:sz w:val="20"/>
        </w:rPr>
      </w:pPr>
      <w:r>
        <w:rPr>
          <w:rFonts w:ascii="Times New Roman" w:hAnsi="Times New Roman"/>
          <w:sz w:val="20"/>
        </w:rPr>
        <w:t xml:space="preserve">The following description summarizes the most important terms of our capital stock, as will be in effect following this offering. Because it is only a summary, it does not contain all the information that may be important to you. We expect to adopt a restated certificate of incorporation and restated bylaws that will become effective upon the completion of this offering, and this description summarizes provisions that are expected to be included in these documents. For a complete description, you should refer to our restated certificate of incorporation and restated bylaws, which are included as exhibits to the registration statement of which this prospectus forms a part, and to the applicable provisions of Delaware law.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both"/>
        <w:rPr>
          <w:rFonts w:ascii="Times New Roman" w:hAnsi="Times New Roman"/>
          <w:sz w:val="20"/>
        </w:rPr>
      </w:pPr>
      <w:r>
        <w:rPr>
          <w:rFonts w:ascii="Times New Roman" w:hAnsi="Times New Roman"/>
          <w:sz w:val="20"/>
        </w:rPr>
        <w:t xml:space="preserve">Upon the completion of this offering, our authorized capital stock will consist of 500,000,000 shares of our common stock, $0.0001 par value per share, and 10,000,000 shares of our undesignated preferred stock, $0.0001 par value per share.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provisions of our current certificate of incorporation, all of our redeemable convertible preferred stock will automatically convert into common stock in connection with the completion of this offering. Our Series A-1 Preferred Stock, our Series A-2 Preferred Stock, our Series B Preferred Stock and our Series C Preferred Stock will convert at the applicable conversion ratio of 1-for-1, as adjusted to reflect the 1-for-9.29 reverse stock split of our common stock. Assuming the effectiveness of this conversion as of March 31, 2026, there were 26,029,017 shares of our common stock issued, held by approximately 54 stockholders of record, and no shares of our redeemable convertible preferred stock outstanding. Our board of directors is authorized, without stockholder approval, to issue additional shares of our capital stock.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Dividend Rights </w:t>
      </w:r>
    </w:p>
    <w:p>
      <w:pPr>
        <w:pStyle w:val="TextBody"/>
        <w:bidi w:val="0"/>
        <w:spacing w:before="120" w:after="0"/>
        <w:jc w:val="both"/>
        <w:rPr>
          <w:rFonts w:ascii="Times New Roman" w:hAnsi="Times New Roman"/>
          <w:sz w:val="20"/>
        </w:rPr>
      </w:pPr>
      <w:r>
        <w:rPr>
          <w:rFonts w:ascii="Times New Roman" w:hAnsi="Times New Roman"/>
          <w:sz w:val="20"/>
        </w:rPr>
        <w:t xml:space="preserve">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the section titled “Dividend Policy” for additional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both"/>
        <w:rPr>
          <w:rFonts w:ascii="Times New Roman" w:hAnsi="Times New Roman"/>
          <w:sz w:val="20"/>
        </w:rPr>
      </w:pPr>
      <w:r>
        <w:rPr>
          <w:rFonts w:ascii="Times New Roman" w:hAnsi="Times New Roman"/>
          <w:sz w:val="20"/>
        </w:rPr>
        <w:t xml:space="preserve">Holders of our common stock are entitled to one vote for each share held on all matters submitted to a vote of stockholders. We have not provided for cumulative voting for the election of directors in our restated certificate of incorporation, which means that holders of a majority of the shares of our common stock will be able to elect all of our directors. Our restated certificate of incorporation will establish a classified board of directors, to be divided into three classes with staggered three-year terms. Only one class of directors will be elected at each annual meeting of our stockholders, with the other classes continuing for the remainder of their respective three-year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Preemptive or Similar Rights </w:t>
      </w:r>
    </w:p>
    <w:p>
      <w:pPr>
        <w:pStyle w:val="TextBody"/>
        <w:bidi w:val="0"/>
        <w:spacing w:before="120" w:after="0"/>
        <w:jc w:val="both"/>
        <w:rPr>
          <w:rFonts w:ascii="Times New Roman" w:hAnsi="Times New Roman"/>
          <w:sz w:val="20"/>
        </w:rPr>
      </w:pPr>
      <w:r>
        <w:rPr>
          <w:rFonts w:ascii="Times New Roman" w:hAnsi="Times New Roman"/>
          <w:sz w:val="20"/>
        </w:rPr>
        <w:t xml:space="preserve">Our common stock is not entitled to preemptive rights, and is not subject to conversion, redemption or sinking fund provisions.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 to Receive Liquidation Distributions </w:t>
      </w:r>
    </w:p>
    <w:p>
      <w:pPr>
        <w:pStyle w:val="TextBody"/>
        <w:bidi w:val="0"/>
        <w:spacing w:before="120" w:after="0"/>
        <w:jc w:val="both"/>
        <w:rPr>
          <w:rFonts w:ascii="Times New Roman" w:hAnsi="Times New Roman"/>
          <w:sz w:val="20"/>
        </w:rPr>
      </w:pPr>
      <w:r>
        <w:rPr>
          <w:rFonts w:ascii="Times New Roman" w:hAnsi="Times New Roman"/>
          <w:sz w:val="20"/>
        </w:rPr>
        <w:t xml:space="preserve">Upon our liquidation, dissolution or winding-up, the assets legally available for distribution to our stockholders would be distributable ratably among the holders of our common stock and any participating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preferred stock outstanding at that time, subject to prior satisfaction of all outstanding debt and liabilities and the preferential rights of and the payment of liquidation preferences, if any, on any outstanding shares of our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both"/>
        <w:rPr>
          <w:rFonts w:ascii="Times New Roman" w:hAnsi="Times New Roman"/>
          <w:sz w:val="20"/>
        </w:rPr>
      </w:pPr>
      <w:r>
        <w:rPr>
          <w:rFonts w:ascii="Times New Roman" w:hAnsi="Times New Roman"/>
          <w:sz w:val="20"/>
        </w:rPr>
        <w:t xml:space="preserve">After the completion of this offering, no shares of our preferred stock will be outstanding. Pursuant to our restated certificate of incorporation that will become effective upon the completion of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 action by our stockholders. Our board of directors will also be able to increase or decrease the number of shares of any series of preferred stock, but not below the number of shares of that series then outstanding and not above the number of shares of that series authorized,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Stock Options </w:t>
      </w:r>
    </w:p>
    <w:p>
      <w:pPr>
        <w:pStyle w:val="TextBody"/>
        <w:bidi w:val="0"/>
        <w:spacing w:before="120" w:after="0"/>
        <w:jc w:val="both"/>
        <w:rPr>
          <w:rFonts w:ascii="Times New Roman" w:hAnsi="Times New Roman"/>
          <w:sz w:val="20"/>
        </w:rPr>
      </w:pPr>
      <w:r>
        <w:rPr>
          <w:rFonts w:ascii="Times New Roman" w:hAnsi="Times New Roman"/>
          <w:sz w:val="20"/>
        </w:rPr>
        <w:t xml:space="preserve">As of March 31, 2026, we had outstanding options to purchase an aggregate of 2,704,695 shares of our common stock, with a weighted-average exercise price of $4.03 per share under our 2023 Plan.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both"/>
        <w:rPr>
          <w:rFonts w:ascii="Times New Roman" w:hAnsi="Times New Roman"/>
          <w:sz w:val="20"/>
        </w:rPr>
      </w:pPr>
      <w:r>
        <w:rPr>
          <w:rFonts w:ascii="Times New Roman" w:hAnsi="Times New Roman"/>
          <w:sz w:val="20"/>
        </w:rPr>
        <w:t xml:space="preserve">Pursuant to the terms of the IRA immediately following this offering, the holders of 24,822,612 shares of our common stock will be entitled to rights with respect to the registration of such shares under the Securities Act as described below. We refer to these shares collectively as registrable securities. </w:t>
      </w:r>
    </w:p>
    <w:p>
      <w:pPr>
        <w:pStyle w:val="TextBody"/>
        <w:bidi w:val="0"/>
        <w:spacing w:before="240" w:after="0"/>
        <w:jc w:val="both"/>
        <w:rPr>
          <w:rFonts w:ascii="Times New Roman" w:hAnsi="Times New Roman"/>
          <w:sz w:val="20"/>
        </w:rPr>
      </w:pPr>
      <w:r>
        <w:rPr>
          <w:rFonts w:ascii="Times New Roman" w:hAnsi="Times New Roman"/>
          <w:sz w:val="20"/>
        </w:rPr>
        <w:t xml:space="preserve">These rights are provided under the terms of the IRA between us and the holders of these shares, which was entered into in connection with our redeemable convertible preferred stock financings prior to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Demand Registration Rights </w:t>
      </w:r>
    </w:p>
    <w:p>
      <w:pPr>
        <w:pStyle w:val="TextBody"/>
        <w:bidi w:val="0"/>
        <w:spacing w:before="120" w:after="0"/>
        <w:jc w:val="both"/>
        <w:rPr>
          <w:rFonts w:ascii="Times New Roman" w:hAnsi="Times New Roman"/>
          <w:sz w:val="20"/>
        </w:rPr>
      </w:pPr>
      <w:r>
        <w:rPr>
          <w:rFonts w:ascii="Times New Roman" w:hAnsi="Times New Roman"/>
          <w:sz w:val="20"/>
        </w:rPr>
        <w:t xml:space="preserve">Beginning from the earlier of five years after March 31, 2026 or 180 days after the effective date of this registration statement, the holders of a majority of the registrable securities issued or issuable upon conversion of shares of preferred stock may make a request to us for the registration under the Securities Act of at least 40% of the registrable securities then outstanding. Within 10 days after the date such request is given, we are obligated to provide notice of such request to all holders of registrable securities other than the holders that initiated the request and, as soon as practicable and in any event within 60 days after the date such request is given, file a Form S-1 registration statement under the Securities Act covering all registrable securities that the initiating holders requested to be registered and any additional registrable securities requested to be included in such registration by any other holders. We are only required to file two registration statements that are declared effective upon exercise of these demand registration rights. We may postpone taking action with respect to such filing not more than once during any 12-month period for a total period of not more than 90 days, if after receiving a request for registration, we furnish to the holders requesting such registration a certificate signed by our Chief Executive Officer stating that, in the good faith judgment of our board of directors, it would be materially detrimental to us. Such Form S-1 demand registration rights shall not be made available to any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that is (i) any individual, corporation, partnership, trust, limited liability company, association or other entity or government that is a “foreign person” within the meaning of Section 721 of the Defense Production Act, as amended (the DPA) or (ii) any individual, corporation, partnership, trust, limited liability company, association or other entity through whose investment a “foreign person” within the meaning of the DPA would obtain any DPA triggering rights, which mean (A) “control” as defined in the DPA, (B) access to any “material non-public technical information” as defined in the DPA in the possession of the Company, (C) membership or observer rights on the board of directors or the right to nominate an individual to a position on the board of directors, (D) any involvement, other than through the voting of shares, in substantive decision-making of the Company regarding (1) the use, development, acquisition or release of any Company “critical technology” as defined in the DPA, (2) the use, development, acquisition, safekeeping or release of “sensitive personal data” as defined in the DPA of U.S. citizens maintained or collected by the Company or (3) the management, operation, manufacture or supply of “covered investment critical infrastructure” as defined in the DPA. </w:t>
      </w:r>
    </w:p>
    <w:p>
      <w:pPr>
        <w:pStyle w:val="TextBody"/>
        <w:bidi w:val="0"/>
        <w:spacing w:before="240" w:after="0"/>
        <w:jc w:val="both"/>
        <w:rPr>
          <w:rFonts w:ascii="Times New Roman" w:hAnsi="Times New Roman"/>
          <w:sz w:val="20"/>
        </w:rPr>
      </w:pPr>
      <w:r>
        <w:rPr>
          <w:rFonts w:ascii="Times New Roman" w:hAnsi="Times New Roman"/>
          <w:sz w:val="20"/>
        </w:rPr>
        <w:t xml:space="preserve">The underwriters of any underwritten offering will have the right to limit the number of shares registered by these holders if they determine that marketing factors require limitation, in which case the number of shares to be registered will be apportioned, in proportion (as nearly as practicable), to the number of registrable securities owned by each holder or in such other proportion as shall mutually be agreed to by all such selling holders. However, the number of shares to be registered by these holders cannot be reduced unless all other securities are first entirely excluded from the underwriting.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Form S-3 Registration Rights </w:t>
      </w:r>
    </w:p>
    <w:p>
      <w:pPr>
        <w:pStyle w:val="TextBody"/>
        <w:bidi w:val="0"/>
        <w:spacing w:before="120" w:after="0"/>
        <w:jc w:val="both"/>
        <w:rPr>
          <w:rFonts w:ascii="Times New Roman" w:hAnsi="Times New Roman"/>
          <w:sz w:val="20"/>
        </w:rPr>
      </w:pPr>
      <w:r>
        <w:rPr>
          <w:rFonts w:ascii="Times New Roman" w:hAnsi="Times New Roman"/>
          <w:sz w:val="20"/>
        </w:rPr>
        <w:t xml:space="preserve">The holders of at least 30% of the then-outstanding registrable securities can request that we register all or part of their shares on Form S-3 if we are eligible to file a registration statement on Form S-3, including for an offering to be made on a continuous or delayed basis pursuant to Rule 415 of the Securities Act, and if the anticipated aggregate price to the public of the shares offered, net of selling expenses, is at least $5.0 million. Within 10 days after such request is given, we are obligated to provide notice of such request to all holders of registrable securities other than the initiating holders and as soon as practicable and in any event within 45 days, file a Form S-3 registration statement covering all registrable securities that the initiating holders requested to be registered and any additional registrable securities requested to be included in such registration by any other holders. We are only required to file two registration statements on Form S-3 in a 12-month period. We may postpone taking action with respect to such filing not more than once during any 12-month period for a period of not more than 90 days if, after receiving a request for registration, we furnish to the holders requesting such registration a certificate signed by our Chief Executive Officer stating that, in the good faith judgment of our board of directors, it would be materially detrimental to us; provided that we may not register any securities for our own account or that of any other stockholder during such 90-day period other than under certain circumstances. In the case of a registration statement on Form S-3, to the extent the Company is then a “well-known seasoned issuer,” we are obligated to file and cause to be immediately effective an automatic registration statement as defined in Rule 405 of the Securities Act. </w:t>
      </w:r>
    </w:p>
    <w:p>
      <w:pPr>
        <w:pStyle w:val="TextBody"/>
        <w:bidi w:val="0"/>
        <w:spacing w:before="240" w:after="0"/>
        <w:jc w:val="both"/>
        <w:rPr>
          <w:rFonts w:ascii="Times New Roman" w:hAnsi="Times New Roman"/>
          <w:sz w:val="20"/>
        </w:rPr>
      </w:pPr>
      <w:r>
        <w:rPr>
          <w:rFonts w:ascii="Times New Roman" w:hAnsi="Times New Roman"/>
          <w:sz w:val="20"/>
        </w:rPr>
        <w:t xml:space="preserve">The underwriters of any underwritten offering will have the right to limit the number of shares registered by these holders if they determine that marketing factors require limitation, in which case the number of shares to be registered will be apportioned, in proportion (as nearly as practicable), to the number of registrable securities owned by each holder or in such other proportion as shall mutually be agreed to by all such selling holders. However, the number of shares to be registered by these holders cannot be reduced unless all other securities are first entirely excluded from the underwriting.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Piggyback Registration Rights </w:t>
      </w:r>
    </w:p>
    <w:p>
      <w:pPr>
        <w:pStyle w:val="TextBody"/>
        <w:bidi w:val="0"/>
        <w:spacing w:before="120" w:after="0"/>
        <w:jc w:val="both"/>
        <w:rPr>
          <w:rFonts w:ascii="Times New Roman" w:hAnsi="Times New Roman"/>
          <w:sz w:val="20"/>
        </w:rPr>
      </w:pPr>
      <w:r>
        <w:rPr>
          <w:rFonts w:ascii="Times New Roman" w:hAnsi="Times New Roman"/>
          <w:sz w:val="20"/>
        </w:rPr>
        <w:t xml:space="preserve">If we register any of our securities for public sale solely for cash, holders of then-outstanding registrable securities or their permitted transferees will have the right to include their registrable securities in the registration statement. However, this right does not apply to our first underwritten public offering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under the Securities Act. If the underwriters determine that less than all the registrable securities requested to be registered can be included in the offering, the number of registrable shares to be registered will be allocated among holders of our registrable securities, in proportion (as nearly as practicable) to the amount of registrable securities owned by each such holder or in such other proportions as shall mutually be agreed to by all such holders. However, the number of shares to be registered by holders of registrable securities cannot be reduced unless all other securities (other than as offered by us) are first entirely excluded. The number of registrable securities included in the offering may not be reduced below 30% of the total number of securities included in such offering, except for in connection with an initial public offering, in which case the selling holders may be excluded further if the underwriters make the determination described above and no other stockholder’s securities are included in such offering. If a holder elects not to include all of its registrable securities in any registration statement thereafter filed by us, such holder will nevertheless continue to have the right to include any registrable securities in a subsequent registration statement or registration statements as may be filed by us with respect to offerings or our securities, subject to the terms and conditions of the IRA.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Expenses of Registration Rights </w:t>
      </w:r>
    </w:p>
    <w:p>
      <w:pPr>
        <w:pStyle w:val="TextBody"/>
        <w:bidi w:val="0"/>
        <w:spacing w:before="120" w:after="0"/>
        <w:jc w:val="both"/>
        <w:rPr>
          <w:rFonts w:ascii="Times New Roman" w:hAnsi="Times New Roman"/>
          <w:sz w:val="20"/>
        </w:rPr>
      </w:pPr>
      <w:r>
        <w:rPr>
          <w:rFonts w:ascii="Times New Roman" w:hAnsi="Times New Roman"/>
          <w:sz w:val="20"/>
        </w:rPr>
        <w:t xml:space="preserve">We generally will pay all expenses, other than underwriting discounts and selling commissions, incurred in connection with each of the registrations described above, including all registration, filing and qualification fees; printers’ and accounting fees; fees and disbursements of our counsel; and the reasonable fees and disbursements, not to exceed $50,000, of one counsel for the selling holders, provided, however, that the registrations described above are not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a registration as described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Expiration of Registration Rights </w:t>
      </w:r>
    </w:p>
    <w:p>
      <w:pPr>
        <w:pStyle w:val="TextBody"/>
        <w:bidi w:val="0"/>
        <w:spacing w:before="120" w:after="0"/>
        <w:jc w:val="both"/>
        <w:rPr>
          <w:rFonts w:ascii="Times New Roman" w:hAnsi="Times New Roman"/>
          <w:sz w:val="20"/>
        </w:rPr>
      </w:pPr>
      <w:r>
        <w:rPr>
          <w:rFonts w:ascii="Times New Roman" w:hAnsi="Times New Roman"/>
          <w:sz w:val="20"/>
        </w:rPr>
        <w:t xml:space="preserve">The registration rights described above will expire, with respect to any particular holder of these rights, on the earliest to occur of (i) the closing of a deemed liquidation event, as defined in our restated certificate of incorporation, in which the consideration received by the investors in such deemed liquidation event is in the form of cash and/or publicly traded securities, or if the investors receive registration rights from the acquiring company or other successor to us reasonably comparable to those set forth in the IRA, (ii) such time after this offering as the registrable securities held by such holder may be sold within any three-month period without restriction pursuant to Rule 144 or a similar exemption under the Securities Act (and without the requirement for us to be in compliance with the current public information required under Rule 144(c)(1) of the Securities Act) and such holder (together with its affiliates, as that term is defined under Rule 144 of the Securities Act) hold less than one percent of our outstanding capital stock, or (iii) the fifth anniversary of this offering (or such later date that is 180 days following the expiration of all deferrals of our obligations pursuant to the IRA that remain in effect as of the fifth anniversary of the initial public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w:t>
      </w:r>
    </w:p>
    <w:p>
      <w:pPr>
        <w:pStyle w:val="TextBody"/>
        <w:bidi w:val="0"/>
        <w:spacing w:before="120" w:after="0"/>
        <w:jc w:val="both"/>
        <w:rPr>
          <w:rFonts w:ascii="Times New Roman" w:hAnsi="Times New Roman"/>
          <w:sz w:val="20"/>
        </w:rPr>
      </w:pPr>
      <w:r>
        <w:rPr>
          <w:rFonts w:ascii="Times New Roman" w:hAnsi="Times New Roman"/>
          <w:sz w:val="20"/>
        </w:rPr>
        <w:t xml:space="preserve">The provisions of the DGCL, our restated certificate of incorporation and our restated bylaws, as we expect they will be in effect upon the completion of this offering,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Delaware Law </w:t>
      </w:r>
    </w:p>
    <w:p>
      <w:pPr>
        <w:pStyle w:val="TextBody"/>
        <w:bidi w:val="0"/>
        <w:spacing w:before="120" w:after="0"/>
        <w:jc w:val="both"/>
        <w:rPr>
          <w:rFonts w:ascii="Times New Roman" w:hAnsi="Times New Roman"/>
          <w:sz w:val="20"/>
        </w:rPr>
      </w:pPr>
      <w:r>
        <w:rPr>
          <w:rFonts w:ascii="Times New Roman" w:hAnsi="Times New Roman"/>
          <w:sz w:val="20"/>
        </w:rPr>
        <w:t xml:space="preserve">We are subject to the provisions of Section 203 of the DGCL regulating corporate takeovers. In general, Section 203 prohibits a publicly held Delaware corporation from engaging in a “business combination” with an “interested stockholder” for a period of three years following the date on which the person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prior to the date of the transaction, the board of directors of the corporation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interested stockholder owned at least 85% of the voting stock of the corporation outstanding at the time the transaction commenced, excluding for purposes of determining the voting stock outstanding, but not the outstanding voting stock owned by the interested stockholder, (i) shares owned by persons who are directors and also executive officers and (ii) shares owned by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at or subsequent to the date of the transaction, the business combination is approved by the board of directors of the corporation and authorized at an annual or special meeting of stockholders, and not by written consent, by the affirmative vote of at least 66.67% of the outstanding voting stock that is not owned by the interested stockholder. </w:t>
            </w:r>
          </w:p>
        </w:tc>
      </w:tr>
    </w:tbl>
    <w:p>
      <w:pPr>
        <w:pStyle w:val="TextBody"/>
        <w:bidi w:val="0"/>
        <w:spacing w:before="240" w:after="0"/>
        <w:jc w:val="both"/>
        <w:rPr>
          <w:rFonts w:ascii="Times New Roman" w:hAnsi="Times New Roman"/>
          <w:sz w:val="20"/>
        </w:rPr>
      </w:pPr>
      <w:r>
        <w:rPr>
          <w:rFonts w:ascii="Times New Roman" w:hAnsi="Times New Roman"/>
          <w:sz w:val="20"/>
        </w:rPr>
        <w:t xml:space="preserve">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of the DGCL may also discourage attempts that might result in a premium over the market price for the shares of common stock held by stockholders. </w:t>
      </w:r>
    </w:p>
    <w:p>
      <w:pPr>
        <w:pStyle w:val="TextBody"/>
        <w:bidi w:val="0"/>
        <w:spacing w:before="240" w:after="0"/>
        <w:jc w:val="left"/>
        <w:rPr>
          <w:rFonts w:ascii="Times New Roman" w:hAnsi="Times New Roman"/>
          <w:b/>
          <w:i/>
          <w:sz w:val="20"/>
        </w:rPr>
      </w:pPr>
      <w:r>
        <w:rPr>
          <w:rFonts w:ascii="Times New Roman" w:hAnsi="Times New Roman"/>
          <w:b/>
          <w:i/>
          <w:sz w:val="20"/>
        </w:rPr>
        <w:t xml:space="preserve">Restated Certificate of Incorporation and Restated Bylaw Provisions </w:t>
      </w:r>
    </w:p>
    <w:p>
      <w:pPr>
        <w:pStyle w:val="TextBody"/>
        <w:bidi w:val="0"/>
        <w:spacing w:before="120" w:after="0"/>
        <w:jc w:val="both"/>
        <w:rPr>
          <w:rFonts w:ascii="Times New Roman" w:hAnsi="Times New Roman"/>
          <w:sz w:val="20"/>
        </w:rPr>
      </w:pPr>
      <w:r>
        <w:rPr>
          <w:rFonts w:ascii="Times New Roman" w:hAnsi="Times New Roman"/>
          <w:sz w:val="20"/>
        </w:rPr>
        <w:t xml:space="preserve">Our restated certificate of incorporation and our restated bylaws, as we expect they will be in effect upon the completion of this offering, include a number of provisions that could deter hostile takeovers or delay or prevent changes in control of our Company,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Board of Directors Vacancies</w:t>
            </w:r>
            <w:r>
              <w:rPr>
                <w:rFonts w:ascii="Times New Roman" w:hAnsi="Times New Roman"/>
                <w:sz w:val="20"/>
              </w:rPr>
              <w:t xml:space="preserve">. Our restated certificate of incorporation and restated bylaws will authorize only our board of directors to fill 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i/>
                <w:sz w:val="20"/>
              </w:rPr>
              <w:t>Classified Board</w:t>
            </w:r>
            <w:r>
              <w:rPr>
                <w:rFonts w:ascii="Times New Roman" w:hAnsi="Times New Roman"/>
                <w:sz w:val="20"/>
              </w:rPr>
              <w:t xml:space="preserve">. Our restated certificate of incorporation and restated bylaws will provide that our board of directors is classified into three classes of 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 See the section titled “Management—Classified Board of Directors” for additional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Stockholder Action; Special Meetings of Stockholders</w:t>
            </w:r>
            <w:r>
              <w:rPr>
                <w:rFonts w:ascii="Times New Roman" w:hAnsi="Times New Roman"/>
                <w:sz w:val="20"/>
              </w:rPr>
              <w:t xml:space="preserve">. Our restated certificate of incorporation will provide that our stockholders may not take action by written consent but may only take action at annual or special meetings of our stockholders. As a result, a holder controlling a majority of our capital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would not be able to amend our restated bylaws or remove directors without holding a meeting of our stockholders called in accordance with our restated bylaws. Further, our restated certificate of incorporation and restated bylaws will provide that special meetings of our stockholders may be called only by a majority of our board of directors, the Chairman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Advance Notice Requirements for Stockholder Proposals and Director Nominations</w:t>
            </w:r>
            <w:r>
              <w:rPr>
                <w:rFonts w:ascii="Times New Roman" w:hAnsi="Times New Roman"/>
                <w:sz w:val="20"/>
              </w:rPr>
              <w:t xml:space="preserve">. Our restated bylaws will provide advance notice procedures for stockholders seeking to bring business before our annual meeting of stockholders or to nominate candidates for election as directors at our annual meeting of stockholders. Our restated bylaws also will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These provisions may also discourage or deter a potential acquirer from conducting a solicitation of proxies to elect the acquirer’s own slate of directors or otherwise attempting to obtain control of our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No Cumulative Voting</w:t>
            </w:r>
            <w:r>
              <w:rPr>
                <w:rFonts w:ascii="Times New Roman" w:hAnsi="Times New Roman"/>
                <w:sz w:val="20"/>
              </w:rPr>
              <w:t xml:space="preserve">. The DGCL provides that stockholders are not entitled to the right to cumulate votes in the election of directors unless a corporation’s certificate of incorporation provides otherwise. Our restated certificate of incorporation and restated bylaws will not provide for cumulative voting.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Directors Removed Only for Cause</w:t>
            </w:r>
            <w:r>
              <w:rPr>
                <w:rFonts w:ascii="Times New Roman" w:hAnsi="Times New Roman"/>
                <w:sz w:val="20"/>
              </w:rPr>
              <w:t xml:space="preserve">. Our restated certificate of incorporation will provide that stockholders may remove directors only for cause and only by the affirmative vote of the holders of at least two-thirds of our outstanding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Amendment of Charter Provisions</w:t>
            </w:r>
            <w:r>
              <w:rPr>
                <w:rFonts w:ascii="Times New Roman" w:hAnsi="Times New Roman"/>
                <w:sz w:val="20"/>
              </w:rPr>
              <w:t xml:space="preserve">. Any amendment of the above expected provisions in our restated certificate of incorporation will require approval by the holders of at least two-thirds of our outstanding common stock, unless such amendments are approved by two thirds of our entire board of directors, in which case stockholders can approve by a simple majority.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i/>
                <w:sz w:val="20"/>
              </w:rPr>
              <w:t>Issuance of Undesignated Preferred Stock</w:t>
            </w:r>
            <w:r>
              <w:rPr>
                <w:rFonts w:ascii="Times New Roman" w:hAnsi="Times New Roman"/>
                <w:sz w:val="20"/>
              </w:rPr>
              <w:t xml:space="preserve">. Our board of directors has the authority, without further action by the stockholders, to issue up to 10,000,000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merger, tender offer, proxy contest or other means.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Choice of Forum</w:t>
            </w:r>
            <w:r>
              <w:rPr>
                <w:rFonts w:ascii="Times New Roman" w:hAnsi="Times New Roman"/>
                <w:sz w:val="20"/>
              </w:rPr>
              <w:t xml:space="preserve">. Our restated bylaws will provide that, to the fullest extent permitted by law, the Court of Chancery of the State of Delaware will be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Our restated bylaws will also provide that the federal district courts of the United States of America will, to the fullest extent permitted by law, be the exclusive forum for resolving any complaint asserting a cause of action arising under the Securities Act, which we refer to as a Federal Forum Provision. Our decision to adopt a Federal Forum Provision followed a decision by the Supreme Court of the State of Delaware holding that such provisions are facially valid under Delaware law. While there can be no assurance that federal courts or other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While neither the exclusive forum provision nor the Federal Forum Provision applies to suits brought to enforce any duty or liability created by the Exchange Act, Section 27 of the Exchange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also must be brought in federal court. Our stockholders will not be deemed to have waived our compliance with the federal securities laws and the regulations promulgated thereunder. 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executive officers, other employees or agents of our Company, which may discourage lawsuits against us and our directors, executive officers and other employees.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both"/>
        <w:rPr>
          <w:rFonts w:ascii="Times New Roman" w:hAnsi="Times New Roman"/>
          <w:sz w:val="20"/>
        </w:rPr>
      </w:pPr>
      <w:r>
        <w:rPr>
          <w:rFonts w:ascii="Times New Roman" w:hAnsi="Times New Roman"/>
          <w:sz w:val="20"/>
        </w:rPr>
        <w:t xml:space="preserve">Upon the completion of this offering, the transfer agent and registrar for our common stock will be Fidelity Stock Transfer Solutions LLC. The transfer agent and registrar’s address is 245 Summer Street, Boston, Massachusetts 02210.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both"/>
        <w:rPr>
          <w:rFonts w:ascii="Times New Roman" w:hAnsi="Times New Roman"/>
          <w:sz w:val="20"/>
        </w:rPr>
      </w:pPr>
      <w:r>
        <w:rPr>
          <w:rFonts w:ascii="Times New Roman" w:hAnsi="Times New Roman"/>
          <w:sz w:val="20"/>
        </w:rPr>
        <w:t xml:space="preserve">We have applied to list our common stock on the Nasdaq Global Market under the symbol “ATTO,” and this offering is contingent upon obtaining such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8" w:name="tx40469_16"/>
      <w:bookmarkEnd w:id="18"/>
      <w:r>
        <w:rPr>
          <w:rFonts w:ascii="Times New Roman" w:hAnsi="Times New Roman"/>
          <w:b/>
          <w:sz w:val="20"/>
        </w:rPr>
        <w:t xml:space="preserve">SHARES ELIGIBLE FOR FUTURE SALE </w:t>
      </w:r>
    </w:p>
    <w:p>
      <w:pPr>
        <w:pStyle w:val="TextBody"/>
        <w:bidi w:val="0"/>
        <w:spacing w:before="240" w:after="0"/>
        <w:jc w:val="both"/>
        <w:rPr>
          <w:rFonts w:ascii="Times New Roman" w:hAnsi="Times New Roman"/>
          <w:sz w:val="20"/>
        </w:rPr>
      </w:pPr>
      <w:r>
        <w:rPr>
          <w:rFonts w:ascii="Times New Roman" w:hAnsi="Times New Roman"/>
          <w:sz w:val="20"/>
        </w:rPr>
        <w:t xml:space="preserve">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Nevertheless, sales of our common stock, including shares issued upon exercise of outstanding options, in the public market following this offering could adversely affect market prices prevailing from time to time and could impair our ability to raise capital through the sale of our equity securities. </w:t>
      </w:r>
    </w:p>
    <w:p>
      <w:pPr>
        <w:pStyle w:val="TextBody"/>
        <w:bidi w:val="0"/>
        <w:spacing w:before="240" w:after="0"/>
        <w:jc w:val="both"/>
        <w:rPr>
          <w:rFonts w:ascii="Times New Roman" w:hAnsi="Times New Roman"/>
          <w:sz w:val="20"/>
        </w:rPr>
      </w:pPr>
      <w:r>
        <w:rPr>
          <w:rFonts w:ascii="Times New Roman" w:hAnsi="Times New Roman"/>
          <w:sz w:val="20"/>
        </w:rPr>
        <w:t xml:space="preserve">Upon the completion of this offering, based on 4,511,041 shares of our common stock outstanding as of March 31, 2026, including 315,673 shares of unvested restricted stock subject to repurchase, we will have a total of 43,029,017 shares of our common stock outstanding, assuming (i) the automatic conversion of all outstanding shares of our redeemable convertible preferred stock into an aggregate of 21,517,976 shares of our common stock and (ii) the issuance of 17,000,000 shares of common stock in this offering, assuming that the underwriters do not exercise their over-allotment option in part or in full. Of these outstanding shares, all of the shares of our common stock sold in this offering will be freely tradable, except that any shares purchased in this offering by our affiliates, as that term is defined in Rule 144 under the Securities Act can only be sold in compliance with the Rule 144 limitations described below. </w:t>
      </w:r>
    </w:p>
    <w:p>
      <w:pPr>
        <w:pStyle w:val="TextBody"/>
        <w:bidi w:val="0"/>
        <w:spacing w:before="240" w:after="0"/>
        <w:jc w:val="both"/>
        <w:rPr>
          <w:rFonts w:ascii="Times New Roman" w:hAnsi="Times New Roman"/>
          <w:sz w:val="20"/>
        </w:rPr>
      </w:pPr>
      <w:r>
        <w:rPr>
          <w:rFonts w:ascii="Times New Roman" w:hAnsi="Times New Roman"/>
          <w:sz w:val="20"/>
        </w:rPr>
        <w:t xml:space="preserve">The remaining outstanding shares of our common stock will be deemed “restricted securities” as defined in Rule 144. Restricted securities may be sold in the public market only if they are registered under the Securities Act or if they qualify for an exemption from registration under Rule 144 or Rule 701 promulgated under the Securities Act, which rules are summarized below. In addition, substantially all of our security holders have, or will have, entered into market standoff agreements with us or lock-up agreements with the underwriters under which they have agreed, subject to specific exceptions, not to sell any of our stock for at least 180 days following the date of this prospectus, as described below. </w:t>
      </w:r>
    </w:p>
    <w:p>
      <w:pPr>
        <w:pStyle w:val="TextBody"/>
        <w:bidi w:val="0"/>
        <w:spacing w:before="360" w:after="0"/>
        <w:jc w:val="left"/>
        <w:rPr>
          <w:rFonts w:ascii="Times New Roman" w:hAnsi="Times New Roman"/>
          <w:b/>
          <w:sz w:val="20"/>
        </w:rPr>
      </w:pPr>
      <w:r>
        <w:rPr>
          <w:rFonts w:ascii="Times New Roman" w:hAnsi="Times New Roman"/>
          <w:b/>
          <w:sz w:val="20"/>
        </w:rPr>
        <w:t xml:space="preserve">Lock-Up Agreements </w:t>
      </w:r>
    </w:p>
    <w:p>
      <w:pPr>
        <w:pStyle w:val="TextBody"/>
        <w:bidi w:val="0"/>
        <w:spacing w:before="120" w:after="0"/>
        <w:jc w:val="both"/>
        <w:rPr>
          <w:rFonts w:ascii="Times New Roman" w:hAnsi="Times New Roman"/>
          <w:sz w:val="20"/>
        </w:rPr>
      </w:pPr>
      <w:r>
        <w:rPr>
          <w:rFonts w:ascii="Times New Roman" w:hAnsi="Times New Roman"/>
          <w:sz w:val="20"/>
        </w:rPr>
        <w:t xml:space="preserve">We, our officers, directors and holders of substantially all of our securities, have agreed with the underwriters that for a period of 180 days, after the date of this prospectus, among other things and subject to certain exceptions, we or they will not offer, pledge, sell, contract to sell, sell any option or contract to purchase, purchase any option or contract to sell, grant any option, right or warrant to sell, or otherwise dispose of or transfer any shares of common stock or any securities convertible into or exercisable or exchangeable for shares of common stock, request or demand that we file a registration statement related to our common stock or enter into any swap or other agreement that transfers to another, in whole or in part, directly or indirectly, the economic consequence of ownership of the common stock, or publicly declare an intention to do any of the foregoing. Upon expiration of the lock-up period, certain of our stockholders will have the right to require us to register their shares under the Securities Act. See the subsection titled “Registration Rights” below and the section titled “Description of Capital Stock—Registration Rights.” </w:t>
      </w:r>
    </w:p>
    <w:p>
      <w:pPr>
        <w:pStyle w:val="TextBody"/>
        <w:bidi w:val="0"/>
        <w:spacing w:before="240" w:after="0"/>
        <w:jc w:val="both"/>
        <w:rPr>
          <w:rFonts w:ascii="Times New Roman" w:hAnsi="Times New Roman"/>
          <w:sz w:val="20"/>
        </w:rPr>
      </w:pPr>
      <w:r>
        <w:rPr>
          <w:rFonts w:ascii="Times New Roman" w:hAnsi="Times New Roman"/>
          <w:sz w:val="20"/>
        </w:rPr>
        <w:t xml:space="preserve">Morgan Stanley &amp; Co. LLC, Leerink Partners LLC, Citigroup Global Markets Inc. and RBC Capital Markets, LLC may, in their sole discretion and at any time or from time to time before the termination of the lock-up period, in certain cases without public notice, release all or any portion of the securities subject to lock-up agreements. There are no existing agreements between the underwriters and any of our stockholders who will execute a lock-up agreement providing consent to the sale of shares prior to the expiration of the lock-up period. See the section titled “Underwriters” for additional information. </w:t>
      </w:r>
    </w:p>
    <w:p>
      <w:pPr>
        <w:pStyle w:val="TextBody"/>
        <w:bidi w:val="0"/>
        <w:spacing w:before="240" w:after="0"/>
        <w:jc w:val="both"/>
        <w:rPr>
          <w:rFonts w:ascii="Times New Roman" w:hAnsi="Times New Roman"/>
          <w:sz w:val="20"/>
        </w:rPr>
      </w:pPr>
      <w:r>
        <w:rPr>
          <w:rFonts w:ascii="Times New Roman" w:hAnsi="Times New Roman"/>
          <w:sz w:val="20"/>
        </w:rPr>
        <w:t xml:space="preserve">Upon the expiration of the lock-up period, substantially all of the shares subject to such lock-up restrictions will become eligible for sale, subject to the limitations discussed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Rule 144 </w:t>
      </w:r>
    </w:p>
    <w:p>
      <w:pPr>
        <w:pStyle w:val="TextBody"/>
        <w:bidi w:val="0"/>
        <w:spacing w:before="120" w:after="0"/>
        <w:jc w:val="both"/>
        <w:rPr>
          <w:rFonts w:ascii="Times New Roman" w:hAnsi="Times New Roman"/>
          <w:sz w:val="20"/>
        </w:rPr>
      </w:pPr>
      <w:r>
        <w:rPr>
          <w:rFonts w:ascii="Times New Roman" w:hAnsi="Times New Roman"/>
          <w:sz w:val="20"/>
        </w:rPr>
        <w:t xml:space="preserve">In general, Rule 144 provides that once we have been subject to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of our common stock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 </w:t>
      </w:r>
    </w:p>
    <w:p>
      <w:pPr>
        <w:pStyle w:val="TextBody"/>
        <w:bidi w:val="0"/>
        <w:spacing w:before="240" w:after="0"/>
        <w:jc w:val="both"/>
        <w:rPr>
          <w:rFonts w:ascii="Times New Roman" w:hAnsi="Times New Roman"/>
          <w:sz w:val="20"/>
        </w:rPr>
      </w:pPr>
      <w:r>
        <w:rPr>
          <w:rFonts w:ascii="Times New Roman" w:hAnsi="Times New Roman"/>
          <w:sz w:val="20"/>
        </w:rPr>
        <w:t xml:space="preserve">In general, Rule 144 provides that our affiliates or persons selling shares of our common stock on behalf of our affiliates are entitled to sell upon expiration of the lock-up and market standoff agreements described above, within any three-month period, a number of shares of our common stock that does not exceed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1% of the number of shares of our common stock then outstanding, which will equal approximately 430,290 shares immediately after the completion of this offering;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average reported weekly trading volume of shares of our common stock during the four calendar weeks preceding the filing of a notice on Form 144 with respect to that sale. </w:t>
            </w:r>
          </w:p>
        </w:tc>
      </w:tr>
    </w:tbl>
    <w:p>
      <w:pPr>
        <w:pStyle w:val="TextBody"/>
        <w:bidi w:val="0"/>
        <w:spacing w:before="240" w:after="0"/>
        <w:jc w:val="both"/>
        <w:rPr>
          <w:rFonts w:ascii="Times New Roman" w:hAnsi="Times New Roman"/>
          <w:sz w:val="20"/>
        </w:rPr>
      </w:pPr>
      <w:r>
        <w:rPr>
          <w:rFonts w:ascii="Times New Roman" w:hAnsi="Times New Roman"/>
          <w:sz w:val="20"/>
        </w:rPr>
        <w:t xml:space="preserve">Sales under Rule 144 by our affiliates or persons selling shares of our common stock on behalf of our affiliates are also subject to certain manner of sale provisions and notice requirements and to the availability of current public information about us. </w:t>
      </w:r>
    </w:p>
    <w:p>
      <w:pPr>
        <w:pStyle w:val="TextBody"/>
        <w:bidi w:val="0"/>
        <w:spacing w:before="360" w:after="0"/>
        <w:jc w:val="left"/>
        <w:rPr>
          <w:rFonts w:ascii="Times New Roman" w:hAnsi="Times New Roman"/>
          <w:b/>
          <w:sz w:val="20"/>
        </w:rPr>
      </w:pPr>
      <w:r>
        <w:rPr>
          <w:rFonts w:ascii="Times New Roman" w:hAnsi="Times New Roman"/>
          <w:b/>
          <w:sz w:val="20"/>
        </w:rPr>
        <w:t xml:space="preserve">Rule 701 </w:t>
      </w:r>
    </w:p>
    <w:p>
      <w:pPr>
        <w:pStyle w:val="TextBody"/>
        <w:bidi w:val="0"/>
        <w:spacing w:before="120" w:after="0"/>
        <w:jc w:val="both"/>
        <w:rPr>
          <w:rFonts w:ascii="Times New Roman" w:hAnsi="Times New Roman"/>
          <w:sz w:val="20"/>
        </w:rPr>
      </w:pPr>
      <w:r>
        <w:rPr>
          <w:rFonts w:ascii="Times New Roman" w:hAnsi="Times New Roman"/>
          <w:sz w:val="20"/>
        </w:rPr>
        <w:t xml:space="preserve">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our affiliates to sell their Rule 701 shares under Rule 144 without complying with the holding period requirements of Rule 144. All holders of Rule 701 shares, however, are required to wait until 90 days after the date of this prospectus before selling those shares pursuant to Rule 701 and are subject to the lock-up and market standoff agreements described above. </w:t>
      </w:r>
    </w:p>
    <w:p>
      <w:pPr>
        <w:pStyle w:val="TextBody"/>
        <w:bidi w:val="0"/>
        <w:spacing w:before="360" w:after="0"/>
        <w:jc w:val="left"/>
        <w:rPr>
          <w:rFonts w:ascii="Times New Roman" w:hAnsi="Times New Roman"/>
          <w:b/>
          <w:sz w:val="20"/>
        </w:rPr>
      </w:pPr>
      <w:r>
        <w:rPr>
          <w:rFonts w:ascii="Times New Roman" w:hAnsi="Times New Roman"/>
          <w:b/>
          <w:sz w:val="20"/>
        </w:rPr>
        <w:t xml:space="preserve">Form S-8 Registration Statement </w:t>
      </w:r>
    </w:p>
    <w:p>
      <w:pPr>
        <w:pStyle w:val="TextBody"/>
        <w:bidi w:val="0"/>
        <w:spacing w:before="120" w:after="0"/>
        <w:jc w:val="both"/>
        <w:rPr>
          <w:rFonts w:ascii="Times New Roman" w:hAnsi="Times New Roman"/>
          <w:sz w:val="20"/>
        </w:rPr>
      </w:pPr>
      <w:r>
        <w:rPr>
          <w:rFonts w:ascii="Times New Roman" w:hAnsi="Times New Roman"/>
          <w:sz w:val="20"/>
        </w:rPr>
        <w:t xml:space="preserve">In connection with this offering, we intend to file a registration statement on Form S-8 under the Securities Act covering all of the shares of our common stock subject to outstanding options, outstanding shares of restricted stock and the shares of our common stock reserved for issuance under our equity incentive plans. We expect to file this registration statement as soon as permitted under the Securities Act. However, the shares registered on Form S-8 held by affiliates may be subject to the volume limitations and the manner of sale, notice and public information requirements of Rule 144 and will not be eligible for resale until expiration of the lock-up and market standoff agreements to which they are subject. Of the 2,704,695 shares of our common stock that were subject to options outstanding as of March 31, 2026, options to purchase 720,444 shares of common stock were vested as of March 31, 2026. Shares of our common stock underlying outstanding options will not be eligible for sale until the expiration of the lock-up and market standoff agreements to which they are subject.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both"/>
        <w:rPr>
          <w:rFonts w:ascii="Times New Roman" w:hAnsi="Times New Roman"/>
          <w:sz w:val="20"/>
        </w:rPr>
      </w:pPr>
      <w:r>
        <w:rPr>
          <w:rFonts w:ascii="Times New Roman" w:hAnsi="Times New Roman"/>
          <w:sz w:val="20"/>
        </w:rPr>
        <w:t xml:space="preserve">We have granted demand, piggyback and Form S-3 registration rights to certain of our stockholders to sell our common stock. Registration of the sale of these shares under the Securities Act would result in these shares becoming freely tradable without restriction under the Securities Act immediately upon the effectiveness of the registration, except for shares purchased by affiliates. See the section titled “Description of Capital Stock—Registration Rights” 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9" w:name="tx40469_17"/>
      <w:bookmarkEnd w:id="19"/>
      <w:r>
        <w:rPr>
          <w:rFonts w:ascii="Times New Roman" w:hAnsi="Times New Roman"/>
          <w:b/>
          <w:sz w:val="20"/>
        </w:rPr>
        <w:t xml:space="preserve">MATERIAL U.S. FEDERAL INCOME TAX CONSEQUENCES TO NON-U.S. HOLDERS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summary describes the material U.S. federal income tax consequences of the ownership and disposition of shares of our common stock acquired in this offering by Non-U.S. Holders (as defined below). This discussion does not address all aspects of U.S. federal income taxation relating thereto, does not discuss the potential application of the alternative minimum tax or Medicare contribution tax on net investment income, and does not deal with state or local tax laws, any U.S. federal non-income tax laws such as gift and estate tax laws, except to the limited extent provided below, or any non-U.S. tax laws that may be relevant to Non-U.S. Holders in light of their particular circumstances. </w:t>
      </w:r>
    </w:p>
    <w:p>
      <w:pPr>
        <w:pStyle w:val="TextBody"/>
        <w:bidi w:val="0"/>
        <w:spacing w:before="240" w:after="0"/>
        <w:jc w:val="both"/>
        <w:rPr>
          <w:rFonts w:ascii="Times New Roman" w:hAnsi="Times New Roman"/>
          <w:sz w:val="20"/>
        </w:rPr>
      </w:pPr>
      <w:r>
        <w:rPr>
          <w:rFonts w:ascii="Times New Roman" w:hAnsi="Times New Roman"/>
          <w:sz w:val="20"/>
        </w:rPr>
        <w:t xml:space="preserve">Special rules different from those described below may apply to certain Non-U.S. Holders that are subject to special treatment under the U.S. Internal Revenue Code of 1986, as amended (the Code),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insurance companies, banks, investment funds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tax-exempt organizations (including private foundations) and tax-qualified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foreign governments and international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broker-dealers and traders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certain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persons required for U.S. federal income tax purposes to conform the timing of income accruals to their financial statements under Section 451(b)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pPr>
            <w:r>
              <w:rPr/>
              <w:t>“</w:t>
            </w:r>
            <w:r>
              <w:rPr>
                <w:rFonts w:ascii="Times New Roman" w:hAnsi="Times New Roman"/>
                <w:sz w:val="20"/>
              </w:rPr>
              <w:t xml:space="preserve">qualified foreign pension funds” as defined in Section 897(l)(2) of the Code and entities all of the interests of which are held by qualified foreign pension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persons that own, or are deemed to own, actually or constructively (including but not limited for purposes of Section 897 of the Code), more than 5%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t>“</w:t>
            </w:r>
            <w:r>
              <w:rPr>
                <w:rFonts w:ascii="Times New Roman" w:hAnsi="Times New Roman"/>
                <w:sz w:val="20"/>
              </w:rPr>
              <w:t xml:space="preserve">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persons that hold our common stock as part of a “straddle,” “hedge,” “conversion transaction,” “synthetic security” or integrated investment or other risk reduction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persons who do not hold our common stock as a capital asset within the meaning of Section 1221 of the Code (generally, for investment purposes);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partnerships and other entities or arrangements treated as pass-through entities for U.S. federal income tax purposes, and investors in such entities (regardless of their places of organization or formation). </w:t>
            </w:r>
          </w:p>
        </w:tc>
      </w:tr>
    </w:tbl>
    <w:p>
      <w:pPr>
        <w:pStyle w:val="TextBody"/>
        <w:bidi w:val="0"/>
        <w:spacing w:before="120" w:after="0"/>
        <w:jc w:val="both"/>
        <w:rPr>
          <w:rFonts w:ascii="Times New Roman" w:hAnsi="Times New Roman"/>
          <w:sz w:val="20"/>
        </w:rPr>
      </w:pPr>
      <w:r>
        <w:rPr>
          <w:rFonts w:ascii="Times New Roman" w:hAnsi="Times New Roman"/>
          <w:sz w:val="20"/>
        </w:rPr>
        <w:t xml:space="preserve">Such Non-U.S. Holders are urged to consult their own tax advisors to determine the U.S. federal, state, local and other tax consequences that may be relevant to them. </w:t>
      </w:r>
    </w:p>
    <w:p>
      <w:pPr>
        <w:pStyle w:val="TextBody"/>
        <w:bidi w:val="0"/>
        <w:spacing w:before="240" w:after="0"/>
        <w:jc w:val="both"/>
        <w:rPr>
          <w:rFonts w:ascii="Times New Roman" w:hAnsi="Times New Roman"/>
          <w:sz w:val="20"/>
        </w:rPr>
      </w:pPr>
      <w:r>
        <w:rPr>
          <w:rFonts w:ascii="Times New Roman" w:hAnsi="Times New Roman"/>
          <w:sz w:val="20"/>
        </w:rPr>
        <w:t xml:space="preserve">If an entity or arrangement that is classified as a partnership for U.S. federal income tax purposes holds our common stock, the U.S. federal income tax treatment of the partnership and the partners thereof generally will depend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 </w:t>
      </w:r>
    </w:p>
    <w:p>
      <w:pPr>
        <w:pStyle w:val="TextBody"/>
        <w:bidi w:val="0"/>
        <w:spacing w:before="240" w:after="0"/>
        <w:jc w:val="both"/>
        <w:rPr>
          <w:rFonts w:ascii="Times New Roman" w:hAnsi="Times New Roman"/>
          <w:sz w:val="20"/>
        </w:rPr>
      </w:pPr>
      <w:r>
        <w:rPr>
          <w:rFonts w:ascii="Times New Roman" w:hAnsi="Times New Roman"/>
          <w:sz w:val="20"/>
        </w:rPr>
        <w:t xml:space="preserve">Furthermore, the discussion below is based upon the provisions of the Code, U.S. Treasury Regulations promulgated thereunder, published rulings and administrative pronouncements of the U.S. Internal Revenue Service (IRS), and judicial decisions, in each case as of the date hereof, and such authorities may be repealed, revoked or modified, possibly retroactively, or could be subject to differing interpretations which could result in U.S. federal income tax consequences different from those discussed below. We have not requested a ruling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 IRS with respect to the statements made and the conclusions reached in the following summary, and there can be no assurance that the IRS will not take a contrary position regarding the tax consequences described herein, or that any such contrary position would not be sustained by a court. </w:t>
      </w:r>
    </w:p>
    <w:p>
      <w:pPr>
        <w:pStyle w:val="TextBody"/>
        <w:bidi w:val="0"/>
        <w:spacing w:before="240" w:after="0"/>
        <w:jc w:val="both"/>
        <w:rPr>
          <w:rFonts w:ascii="Times New Roman" w:hAnsi="Times New Roman"/>
          <w:b/>
          <w:sz w:val="20"/>
        </w:rPr>
      </w:pPr>
      <w:r>
        <w:rPr>
          <w:rFonts w:ascii="Times New Roman" w:hAnsi="Times New Roman"/>
          <w:b/>
          <w:sz w:val="20"/>
        </w:rPr>
        <w:t xml:space="preserve">PROSPECTIVE INVESTORS CONSIDERING THE PURCHASE OF OUR COMMON STOCK PURSUANT TO THIS OFFERING SHOULD CONSULT THEIR OWN TAX ADVISORS CONCERNING THE U.S. FEDERAL INCOME TAX CONSEQUENCES OF ACQUIRING, OWNING AND DISPOSING OF OUR COMMON STOCK IN LIGHT OF THEIR PARTICULAR SITUATIONS AS WELL AS ANY CONSEQUENCES ARISING UNDER THE LAWS OF ANY OTHER TAXING JURISDICTION, INCLUDING ANY STATE, LOCAL OR NON-U.S. TAX CONSEQUENCES OR ANY U.S. FEDERAL NON-INCOME TAX CONSEQUENCES, AND THE POSSIBLE APPLICATION OF TAX TREATIES. </w:t>
      </w:r>
    </w:p>
    <w:p>
      <w:pPr>
        <w:pStyle w:val="TextBody"/>
        <w:bidi w:val="0"/>
        <w:spacing w:before="360" w:after="0"/>
        <w:jc w:val="left"/>
        <w:rPr>
          <w:rFonts w:ascii="Times New Roman" w:hAnsi="Times New Roman"/>
          <w:b/>
          <w:sz w:val="20"/>
        </w:rPr>
      </w:pPr>
      <w:r>
        <w:rPr>
          <w:rFonts w:ascii="Times New Roman" w:hAnsi="Times New Roman"/>
          <w:b/>
          <w:sz w:val="20"/>
        </w:rPr>
        <w:t xml:space="preserve">Definition of Non-U.S. Holder </w:t>
      </w:r>
    </w:p>
    <w:p>
      <w:pPr>
        <w:pStyle w:val="TextBody"/>
        <w:bidi w:val="0"/>
        <w:spacing w:before="120" w:after="0"/>
        <w:jc w:val="both"/>
        <w:rPr>
          <w:rFonts w:ascii="Times New Roman" w:hAnsi="Times New Roman"/>
          <w:sz w:val="20"/>
        </w:rPr>
      </w:pPr>
      <w:r>
        <w:rPr>
          <w:rFonts w:ascii="Times New Roman" w:hAnsi="Times New Roman"/>
          <w:sz w:val="20"/>
        </w:rPr>
        <w:t xml:space="preserve">For purposes of this discussion, a “Non-U.S. Holder” is a beneficial owner of our common stock, other than a partnership or other entity or arrangement treated as a partnership or other pass-through entity for U.S. federal income tax purposes, that is not,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 individual who is a citizen or resident (including a “green card” holder)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corporation (or other entity taxable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trust that (i) is subject to the primary supervision of a court within the United States and one or more United States persons (within the meaning of Section 7701(a)(30) of the Code) have the authority to control all substantial decisions of the trust or (ii) has a valid election in effect under applicable U.S. Treasury Regulations to be treated as a United States person.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you are an individual who is not a U.S. citizen,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 </w:t>
      </w:r>
    </w:p>
    <w:p>
      <w:pPr>
        <w:pStyle w:val="TextBody"/>
        <w:bidi w:val="0"/>
        <w:spacing w:before="240" w:after="0"/>
        <w:jc w:val="both"/>
        <w:rPr>
          <w:rFonts w:ascii="Times New Roman" w:hAnsi="Times New Roman"/>
          <w:sz w:val="20"/>
        </w:rPr>
      </w:pPr>
      <w:r>
        <w:rPr>
          <w:rFonts w:ascii="Times New Roman" w:hAnsi="Times New Roman"/>
          <w:sz w:val="20"/>
        </w:rPr>
        <w:t xml:space="preserve">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on Our Common Stock </w:t>
      </w:r>
    </w:p>
    <w:p>
      <w:pPr>
        <w:pStyle w:val="TextBody"/>
        <w:bidi w:val="0"/>
        <w:spacing w:before="120" w:after="0"/>
        <w:jc w:val="both"/>
        <w:rPr>
          <w:rFonts w:ascii="Times New Roman" w:hAnsi="Times New Roman"/>
          <w:sz w:val="20"/>
        </w:rPr>
      </w:pPr>
      <w:r>
        <w:rPr>
          <w:rFonts w:ascii="Times New Roman" w:hAnsi="Times New Roman"/>
          <w:sz w:val="20"/>
        </w:rPr>
        <w:t xml:space="preserve">We do not expect to make any distributions on our common stock in the foreseeable future (see the subsection titled “—Dividend Policy” above). If we do make distributions on our common stock, however, such distributions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Any remaining excess will be treated as gain realized on the sale or exchange of our common stock as described below under the section titled “Material U.S. Federal Income Tax Consequences to Non-U.S. Holders– Gain on Disposition of Our Common Stock.” </w:t>
      </w:r>
    </w:p>
    <w:p>
      <w:pPr>
        <w:pStyle w:val="TextBody"/>
        <w:bidi w:val="0"/>
        <w:spacing w:before="240" w:after="0"/>
        <w:jc w:val="both"/>
        <w:rPr>
          <w:rFonts w:ascii="Times New Roman" w:hAnsi="Times New Roman"/>
          <w:sz w:val="20"/>
        </w:rPr>
      </w:pPr>
      <w:r>
        <w:rPr>
          <w:rFonts w:ascii="Times New Roman" w:hAnsi="Times New Roman"/>
          <w:sz w:val="20"/>
        </w:rPr>
        <w:t xml:space="preserve">Subject to the discussions below under the sections titled “Material U.S. Federal Income Tax Consequences to Non-U.S. Holders—Backup Withholding and Information Reporting” and “—Foreign Accounts,”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distribution on our common stock that is treated as a dividend paid to a Non-U.S. Holder will generally be subject to U.S. federal withholding tax at a 30% rate on the gross amount of the dividends or such lower rate as may be specified by an applicable income tax treaty between the United States and the Non-U.S. Holder’s country of tax residence. To obtain a reduced rate of withholding under an income tax treaty, a Non-U.S. Holder generally will be required to provide the applicable withholding agent with a properly executed IRS Form W-8BEN, IRS Form W-8BEN-E or other appropriate form, certifying the Non-U.S. Holder’s entitlement to benefits under the income tax treaty. Such form must be provided prior to the payment of dividends and generally must be updated periodically. If a Non-U.S. Holder holds stock through a financial institution or other agent acting on the holder’s behalf, the holder will be required to provide appropriate documentation to such agent. The holder’s agent may then be required to provide certification to the applicable withholding agent, either directly or through other intermediaries. If you are eligible for a reduced rate of U.S. withholding tax under an income tax treaty, you should consult with your own tax advisor to determine if you are able to obtain a refund of any excess amounts withheld by timely filing an appropriate claim for a refund with the IRS. </w:t>
      </w:r>
    </w:p>
    <w:p>
      <w:pPr>
        <w:pStyle w:val="TextBody"/>
        <w:bidi w:val="0"/>
        <w:spacing w:before="240" w:after="0"/>
        <w:jc w:val="both"/>
        <w:rPr>
          <w:rFonts w:ascii="Times New Roman" w:hAnsi="Times New Roman"/>
          <w:sz w:val="20"/>
        </w:rPr>
      </w:pPr>
      <w:r>
        <w:rPr>
          <w:rFonts w:ascii="Times New Roman" w:hAnsi="Times New Roman"/>
          <w:sz w:val="20"/>
        </w:rPr>
        <w:t xml:space="preserve">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that the holder maintains in the United States) if a properly executed IRS Form W-8ECI, stating that the dividends are so connected, is furnished to the applicable withholding agent. In general, such effectively connected dividends will be subject to U.S. federal income tax on a net income basis at the same rates applicable to United States persons. </w:t>
      </w:r>
    </w:p>
    <w:p>
      <w:pPr>
        <w:pStyle w:val="TextBody"/>
        <w:bidi w:val="0"/>
        <w:spacing w:before="240" w:after="0"/>
        <w:jc w:val="both"/>
        <w:rPr>
          <w:rFonts w:ascii="Times New Roman" w:hAnsi="Times New Roman"/>
          <w:sz w:val="20"/>
        </w:rPr>
      </w:pPr>
      <w:r>
        <w:rPr>
          <w:rFonts w:ascii="Times New Roman" w:hAnsi="Times New Roman"/>
          <w:sz w:val="20"/>
        </w:rPr>
        <w:t xml:space="preserve">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w:t>
      </w:r>
    </w:p>
    <w:p>
      <w:pPr>
        <w:pStyle w:val="TextBody"/>
        <w:bidi w:val="0"/>
        <w:spacing w:before="360" w:after="0"/>
        <w:jc w:val="left"/>
        <w:rPr>
          <w:rFonts w:ascii="Times New Roman" w:hAnsi="Times New Roman"/>
          <w:b/>
          <w:sz w:val="20"/>
        </w:rPr>
      </w:pPr>
      <w:r>
        <w:rPr>
          <w:rFonts w:ascii="Times New Roman" w:hAnsi="Times New Roman"/>
          <w:b/>
          <w:sz w:val="20"/>
        </w:rPr>
        <w:t xml:space="preserve">Gain on Disposition of Our Common Stock </w:t>
      </w:r>
    </w:p>
    <w:p>
      <w:pPr>
        <w:pStyle w:val="TextBody"/>
        <w:bidi w:val="0"/>
        <w:spacing w:before="120" w:after="0"/>
        <w:jc w:val="both"/>
        <w:rPr>
          <w:rFonts w:ascii="Times New Roman" w:hAnsi="Times New Roman"/>
          <w:sz w:val="20"/>
        </w:rPr>
      </w:pPr>
      <w:r>
        <w:rPr>
          <w:rFonts w:ascii="Times New Roman" w:hAnsi="Times New Roman"/>
          <w:sz w:val="20"/>
        </w:rPr>
        <w:t xml:space="preserve">Subject to the discussions below under the sections titled “Material U.S. Federal Income Tax Consequences to Non-U.S. Holders—Backup Withholding and Information Reporting” and “—Foreign Accounts,” a Non-U.S. Holder generally will not be subject to U.S. federal income or withholding tax with respect to gain realized on a sale or other disposition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gain is effectively connected with a trade or business of the Non-U.S. Holder in the United States (and, if required by an applicable income tax treaty, is attributable to a permanent establishment that the holder maintains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Non-U.S. Holder is a nonresident alien who is an individual and is present in the United States for 183 or more days in the taxable year of the disposition and certain other conditions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are or have been a “United States real property holding corporation” within the meaning of Code Section 897(c)(2) at any time within the shorter of the five-year period preceding such disposition or the Non-U.S. Holder’s holding period in the common stock.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you are a Non-U.S. Holder described in (a) above, you will be required to pay tax on the net gain derived from the sale at the same U.S. federal income tax rates applicable to United States persons. Corporate Non-U.S. Holders described in (i) above may also be subject to the additional branch profits tax at a 30% rate (or such lower rate as may be specified by an applicable income tax treaty) of their effectively connected earnings and profits for the taxable year, as adjusted for certain items. If you are an individual Non-U.S. Holder described in (ii) above, you will be required to pay a flat 30% tax on the gain derived from the sale, which gain may be offset by certain U.S. source capital losses (even though you are not considered a resident of the United States), provided you have timely filed U.S. federal income tax returns with respect to such losses. With respect to (iii) above, in general, we would be a USRPHC if U.S. real property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as defined in the Code and the Treasury Regulations comprised (by fair market value) at least half of the sum of our worldwide real property interests plus our other assets used or held for use in a trade or business. We believe that we are not, and do not anticipate becoming, a USRPHC. However, there can be no assurance that we will not become a USRPHC in the future. Even if we were to be treated as a USRPHC, gain realized by a Non-U.S. Holder on a disposition of our common stock would not be subject to U.S. federal income tax so long as (i) the Non-U.S. Holder owned, directly, indirectly or constructively, no more than 5% of our common stock at all times within the shorter of (A) the five-year period preceding the disposition or (B) the Non-U.S. Holder’s holding period and (ii) our common stock is regularly traded on an established securities market. There can be no assurance that our common stock will qualify as regularly traded on an established securities market.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Estate Tax </w:t>
      </w:r>
    </w:p>
    <w:p>
      <w:pPr>
        <w:pStyle w:val="TextBody"/>
        <w:bidi w:val="0"/>
        <w:spacing w:before="120" w:after="0"/>
        <w:jc w:val="both"/>
        <w:rPr>
          <w:rFonts w:ascii="Times New Roman" w:hAnsi="Times New Roman"/>
          <w:sz w:val="20"/>
        </w:rPr>
      </w:pPr>
      <w:r>
        <w:rPr>
          <w:rFonts w:ascii="Times New Roman" w:hAnsi="Times New Roman"/>
          <w:sz w:val="20"/>
        </w:rPr>
        <w:t xml:space="preserve">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tax residence provides otherwise. The terms “resident” and “nonresident” are defined differently for U.S. federal estate tax purposes than for U.S. federal income tax purposes. Investors are urged to consult their own tax advisors regarding the U.S. federal estate tax consequences of the acquisition, ownership or disposition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Backup Withholding and Information Reporting </w:t>
      </w:r>
    </w:p>
    <w:p>
      <w:pPr>
        <w:pStyle w:val="TextBody"/>
        <w:bidi w:val="0"/>
        <w:spacing w:before="120" w:after="0"/>
        <w:jc w:val="both"/>
        <w:rPr>
          <w:rFonts w:ascii="Times New Roman" w:hAnsi="Times New Roman"/>
          <w:sz w:val="20"/>
        </w:rPr>
      </w:pPr>
      <w:r>
        <w:rPr>
          <w:rFonts w:ascii="Times New Roman" w:hAnsi="Times New Roman"/>
          <w:sz w:val="20"/>
        </w:rPr>
        <w:t xml:space="preserve">Annual reports are required to be filed with the IRS, by us or certain financial middlemen, with respect to any distributions we pay on our common stock, including the amount of any such distributions, the name and address of the recipient, and the amount, if any, of tax withheld. A similar report is sent to the holder to whom any such dividends are paid. These information reporting requirements apply even if no withholding was required because the dividends were effectively connected with the holder’s conduct of a U.S. trade or business, or withholding was reduced or eliminated by an applicable income tax treaty. Pursuant to tax treaties or certain other agreements, the IRS may make its reports available to tax authorities in the holder’s country of tax residence. </w:t>
      </w:r>
    </w:p>
    <w:p>
      <w:pPr>
        <w:pStyle w:val="TextBody"/>
        <w:bidi w:val="0"/>
        <w:spacing w:before="240" w:after="0"/>
        <w:jc w:val="both"/>
        <w:rPr>
          <w:rFonts w:ascii="Times New Roman" w:hAnsi="Times New Roman"/>
          <w:sz w:val="20"/>
        </w:rPr>
      </w:pPr>
      <w:r>
        <w:rPr>
          <w:rFonts w:ascii="Times New Roman" w:hAnsi="Times New Roman"/>
          <w:sz w:val="20"/>
        </w:rPr>
        <w:t xml:space="preserve">Distributions paid by us (or our paying agents) to a Non-U.S. Holder may also be subject to U.S. federal backup withholding, currently at a 24% rate. U.S. federal backup withholding generally will not apply to payments to a Non-U.S. Holder of dividends or on the gross proceeds of a disposition of our common stock who provides a properly executed IRS Form W-8BEN, IRS Form W-8BEN-E, or IRS Form W-8 ECI, as applicable, or otherwise establishes an exemption, </w:t>
      </w:r>
      <w:r>
        <w:rPr>
          <w:rFonts w:ascii="Times New Roman" w:hAnsi="Times New Roman"/>
          <w:i/>
          <w:sz w:val="20"/>
        </w:rPr>
        <w:t xml:space="preserve">provided that </w:t>
      </w:r>
      <w:r>
        <w:rPr>
          <w:rFonts w:ascii="Times New Roman" w:hAnsi="Times New Roman"/>
          <w:sz w:val="20"/>
        </w:rPr>
        <w:t xml:space="preserve">the applicable withholding agent does not have actual knowledge or reason to know the holder is a United States person. </w:t>
      </w:r>
    </w:p>
    <w:p>
      <w:pPr>
        <w:pStyle w:val="TextBody"/>
        <w:bidi w:val="0"/>
        <w:spacing w:before="240" w:after="0"/>
        <w:jc w:val="both"/>
        <w:rPr>
          <w:rFonts w:ascii="Times New Roman" w:hAnsi="Times New Roman"/>
          <w:sz w:val="20"/>
        </w:rPr>
      </w:pPr>
      <w:r>
        <w:rPr>
          <w:rFonts w:ascii="Times New Roman" w:hAnsi="Times New Roman"/>
          <w:sz w:val="20"/>
        </w:rPr>
        <w:t xml:space="preserve">Under current U.S. federal income tax law, U.S. information reporting and backup withholding requirements generally will apply to the proceeds of a disposition of our common stock effected by or through a U.S. broker or a U.S. office of any broker, U.S. or non-U.S., unless the Non-U.S. Holder provides a properly executed IRS Form W-8BEN or IRS Form W-8BEN-E, or IRS Form W-8 ECI, as applicable, or otherwise establishes an exemption. </w:t>
      </w:r>
    </w:p>
    <w:p>
      <w:pPr>
        <w:pStyle w:val="TextBody"/>
        <w:bidi w:val="0"/>
        <w:spacing w:before="240" w:after="0"/>
        <w:jc w:val="both"/>
        <w:rPr>
          <w:rFonts w:ascii="Times New Roman" w:hAnsi="Times New Roman"/>
          <w:sz w:val="20"/>
        </w:rPr>
      </w:pPr>
      <w:r>
        <w:rPr>
          <w:rFonts w:ascii="Times New Roman" w:hAnsi="Times New Roman"/>
          <w:sz w:val="20"/>
        </w:rPr>
        <w:t xml:space="preserve">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United States person. For information reporting purposes, certain brokers with substantial U.S. ownership or operations will generally be treated in a manner similar to U.S. brokers.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Backup withholding is not an additional tax. If backup withholding is applied to you, you should consult with your own tax advisor to determine whether you have overpaid your U.S. federal income tax, and whether you are able to obtain a tax refund or credit of the overpaid amount. </w:t>
      </w:r>
    </w:p>
    <w:p>
      <w:pPr>
        <w:pStyle w:val="TextBody"/>
        <w:bidi w:val="0"/>
        <w:spacing w:before="360" w:after="0"/>
        <w:jc w:val="left"/>
        <w:rPr>
          <w:rFonts w:ascii="Times New Roman" w:hAnsi="Times New Roman"/>
          <w:b/>
          <w:sz w:val="20"/>
        </w:rPr>
      </w:pPr>
      <w:r>
        <w:rPr>
          <w:rFonts w:ascii="Times New Roman" w:hAnsi="Times New Roman"/>
          <w:b/>
          <w:sz w:val="20"/>
        </w:rPr>
        <w:t xml:space="preserve">Foreign Accounts </w:t>
      </w:r>
    </w:p>
    <w:p>
      <w:pPr>
        <w:pStyle w:val="TextBody"/>
        <w:bidi w:val="0"/>
        <w:spacing w:before="120" w:after="0"/>
        <w:jc w:val="both"/>
        <w:rPr>
          <w:rFonts w:ascii="Times New Roman" w:hAnsi="Times New Roman"/>
          <w:sz w:val="20"/>
        </w:rPr>
      </w:pPr>
      <w:r>
        <w:rPr>
          <w:rFonts w:ascii="Times New Roman" w:hAnsi="Times New Roman"/>
          <w:sz w:val="20"/>
        </w:rPr>
        <w:t xml:space="preserve">In addition, U.S. federal withholding taxes may apply under the Foreign Account Tax Compliance Act (FATCA) , as reflected in Sections 1471 through 1474 of the Code, on certain types of payments, including dividends paid to non-U.S. financial institutions and certain other non-U.S. entities. Specifically, a 30% withholding tax may be imposed on dividends on our common stock paid to a “foreign financial institution” or a “non-financial foreign entity” (each as defined under FATCA), unless (i) the foreign financial institution agrees to undertake certain diligence and reporting obligations, (ii) the non-financial foreign entity either certifies it does not have any “substantial United States owners” (as defined in the Code) or furnishes identifying information regarding each substantial United States owner, or (iii) the foreign financial institution or non-financial foreign entity otherwise qualifies for an exemption from these rules. The 30% federal withholding tax described in this paragraph cannot be reduced under an income tax treaty with the United States. If the payee is a foreign financial institution and is subject to the diligence and reporting requirements in (i)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Under the applicable Treasury Regulations and administrative guidance, withholding under FATCA generally also would apply to payments of gross proceeds from the sale or other disposition of common stock. Under proposed regulations, however, no withholding will apply with respect to payments of gross proceeds. The preamble to the proposed regulations specifies that taxpayers are permitted to rely on such proposed regulations pending finalization. </w:t>
      </w:r>
    </w:p>
    <w:p>
      <w:pPr>
        <w:pStyle w:val="TextBody"/>
        <w:bidi w:val="0"/>
        <w:spacing w:before="240" w:after="0"/>
        <w:jc w:val="both"/>
        <w:rPr>
          <w:rFonts w:ascii="Times New Roman" w:hAnsi="Times New Roman"/>
          <w:sz w:val="20"/>
        </w:rPr>
      </w:pPr>
      <w:r>
        <w:rPr>
          <w:rFonts w:ascii="Times New Roman" w:hAnsi="Times New Roman"/>
          <w:sz w:val="20"/>
        </w:rPr>
        <w:t xml:space="preserve">Prospective investors should consult their tax advisors regarding the potential implications of FATCA on their investment in our common stock. </w:t>
      </w:r>
    </w:p>
    <w:p>
      <w:pPr>
        <w:pStyle w:val="TextBody"/>
        <w:bidi w:val="0"/>
        <w:spacing w:before="240" w:after="0"/>
        <w:jc w:val="both"/>
        <w:rPr>
          <w:rFonts w:ascii="Times New Roman" w:hAnsi="Times New Roman"/>
          <w:b/>
          <w:sz w:val="20"/>
        </w:rPr>
      </w:pPr>
      <w:r>
        <w:rPr>
          <w:rFonts w:ascii="Times New Roman" w:hAnsi="Times New Roman"/>
          <w:b/>
          <w:sz w:val="20"/>
        </w:rPr>
        <w:t xml:space="preserve">EACH PROSPECTIVE INVESTOR SHOULD CONSULT ITS OWN TAX ADVISOR REGARDING THE TAX CONSEQUENCES OF PURCHASING, HOLDING AND DISPOSING OF OUR COMMON STOCK, INCLUDING THE CONSEQUENCES OF ANY PROPOSED CHANGE IN APPLICABLE LAW, AS WELL AS TAX CONSEQUENCES ARISING UNDER ANY U.S. FEDERAL, STATE, LOCAL, OR NON-U.S. INCOME AND NON-INCOME TAX LAWS OR UNDER ANY APPLICABLE TAX TREATY.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0" w:name="tx40469_18"/>
      <w:bookmarkEnd w:id="20"/>
      <w:r>
        <w:rPr>
          <w:rFonts w:ascii="Times New Roman" w:hAnsi="Times New Roman"/>
          <w:b/>
          <w:sz w:val="20"/>
        </w:rPr>
        <w:t xml:space="preserve">UNDERWRITERS </w:t>
      </w:r>
    </w:p>
    <w:p>
      <w:pPr>
        <w:pStyle w:val="TextBody"/>
        <w:bidi w:val="0"/>
        <w:spacing w:before="240" w:after="0"/>
        <w:jc w:val="both"/>
        <w:rPr>
          <w:rFonts w:ascii="Times New Roman" w:hAnsi="Times New Roman"/>
          <w:sz w:val="20"/>
        </w:rPr>
      </w:pPr>
      <w:r>
        <w:rPr>
          <w:rFonts w:ascii="Times New Roman" w:hAnsi="Times New Roman"/>
          <w:sz w:val="20"/>
        </w:rPr>
        <w:t xml:space="preserve">Under the terms and subject to the conditions in an underwriting agreement dated the date of this prospectus, the underwriters named below, for whom Morgan Stanley &amp; Co. LLC, Leerink Partners LLC, Citigroup Global Markets Inc. and RBC Capital Markets, LLC are acting as representatives, have severally agreed to purchase, and we have agreed to sell to them, severally, the number of shares of common stock indicated below: </w:t>
      </w:r>
    </w:p>
    <w:p>
      <w:pPr>
        <w:pStyle w:val="TextBody"/>
        <w:bidi w:val="0"/>
        <w:spacing w:before="0" w:after="0"/>
        <w:jc w:val="left"/>
        <w:rPr/>
      </w:pPr>
      <w:r>
        <w:rPr/>
        <w:t> </w:t>
      </w:r>
    </w:p>
    <w:tbl>
      <w:tblPr>
        <w:tblW w:w="3750" w:type="pct"/>
        <w:jc w:val="center"/>
        <w:tblInd w:w="0" w:type="dxa"/>
        <w:tblLayout w:type="fixed"/>
        <w:tblCellMar>
          <w:top w:w="0" w:type="dxa"/>
          <w:left w:w="0" w:type="dxa"/>
          <w:bottom w:w="0" w:type="dxa"/>
          <w:right w:w="0" w:type="dxa"/>
        </w:tblCellMar>
      </w:tblPr>
      <w:tblGrid>
        <w:gridCol w:w="6227"/>
        <w:gridCol w:w="182"/>
        <w:gridCol w:w="60"/>
        <w:gridCol w:w="1121"/>
        <w:gridCol w:w="63"/>
      </w:tblGrid>
      <w:tr>
        <w:trPr/>
        <w:tc>
          <w:tcPr>
            <w:tcW w:w="6227"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22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82" w:type="dxa"/>
            <w:tcBorders/>
            <w:vAlign w:val="bottom"/>
          </w:tcPr>
          <w:p>
            <w:pPr>
              <w:pStyle w:val="TableContents"/>
              <w:bidi w:val="0"/>
              <w:spacing w:before="0" w:after="283"/>
              <w:jc w:val="left"/>
              <w:rPr/>
            </w:pPr>
            <w:r>
              <w:rPr/>
              <w:t>  </w:t>
            </w:r>
          </w:p>
        </w:tc>
        <w:tc>
          <w:tcPr>
            <w:tcW w:w="1181"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Number of</w:t>
              <w:br/>
              <w:t>Shares</w:t>
            </w:r>
          </w:p>
        </w:tc>
        <w:tc>
          <w:tcPr>
            <w:tcW w:w="63" w:type="dxa"/>
            <w:tcBorders/>
            <w:vAlign w:val="bottom"/>
          </w:tcPr>
          <w:p>
            <w:pPr>
              <w:pStyle w:val="TableContents"/>
              <w:bidi w:val="0"/>
              <w:spacing w:before="0" w:after="283"/>
              <w:jc w:val="left"/>
              <w:rPr/>
            </w:pPr>
            <w:r>
              <w:rPr/>
              <w:t> </w:t>
            </w:r>
          </w:p>
        </w:tc>
      </w:tr>
      <w:tr>
        <w:trPr/>
        <w:tc>
          <w:tcPr>
            <w:tcW w:w="62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21"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227" w:type="dxa"/>
            <w:tcBorders/>
          </w:tcPr>
          <w:p>
            <w:pPr>
              <w:pStyle w:val="TableContents"/>
              <w:bidi w:val="0"/>
              <w:spacing w:before="0" w:after="0"/>
              <w:jc w:val="left"/>
              <w:rPr>
                <w:rFonts w:ascii="Times New Roman" w:hAnsi="Times New Roman"/>
                <w:sz w:val="20"/>
              </w:rPr>
            </w:pPr>
            <w:r>
              <w:rPr>
                <w:rFonts w:ascii="Times New Roman" w:hAnsi="Times New Roman"/>
                <w:sz w:val="20"/>
              </w:rPr>
              <w:t>Leerink Partners LLC</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2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21"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227" w:type="dxa"/>
            <w:tcBorders/>
          </w:tcPr>
          <w:p>
            <w:pPr>
              <w:pStyle w:val="TableContents"/>
              <w:bidi w:val="0"/>
              <w:spacing w:before="0" w:after="0"/>
              <w:jc w:val="left"/>
              <w:rPr>
                <w:rFonts w:ascii="Times New Roman" w:hAnsi="Times New Roman"/>
                <w:sz w:val="20"/>
              </w:rPr>
            </w:pPr>
            <w:r>
              <w:rPr>
                <w:rFonts w:ascii="Times New Roman" w:hAnsi="Times New Roman"/>
                <w:sz w:val="20"/>
              </w:rPr>
              <w:t>RBC Capital Markets, LLC</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2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LifeSci Capital LLC</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21"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227"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227"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17,000,000</w:t>
            </w:r>
          </w:p>
        </w:tc>
        <w:tc>
          <w:tcPr>
            <w:tcW w:w="63" w:type="dxa"/>
            <w:tcBorders/>
            <w:vAlign w:val="bottom"/>
          </w:tcPr>
          <w:p>
            <w:pPr>
              <w:pStyle w:val="TableContents"/>
              <w:bidi w:val="0"/>
              <w:spacing w:before="0" w:after="283"/>
              <w:jc w:val="left"/>
              <w:rPr/>
            </w:pPr>
            <w:r>
              <w:rPr/>
              <w:t> </w:t>
            </w:r>
          </w:p>
        </w:tc>
      </w:tr>
      <w:tr>
        <w:trPr/>
        <w:tc>
          <w:tcPr>
            <w:tcW w:w="6227"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2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 </w:t>
      </w:r>
    </w:p>
    <w:p>
      <w:pPr>
        <w:pStyle w:val="TextBody"/>
        <w:bidi w:val="0"/>
        <w:spacing w:before="240" w:after="0"/>
        <w:jc w:val="both"/>
        <w:rPr>
          <w:rFonts w:ascii="Times New Roman" w:hAnsi="Times New Roman"/>
          <w:sz w:val="20"/>
        </w:rPr>
      </w:pPr>
      <w:r>
        <w:rPr>
          <w:rFonts w:ascii="Times New Roman" w:hAnsi="Times New Roman"/>
          <w:sz w:val="20"/>
        </w:rPr>
        <w:t xml:space="preserve">The underwriters initially propose to offer part of the shares of common stock directly to the public at the offering price listed on the cover page of 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 </w:t>
      </w:r>
    </w:p>
    <w:p>
      <w:pPr>
        <w:pStyle w:val="TextBody"/>
        <w:bidi w:val="0"/>
        <w:spacing w:before="240" w:after="0"/>
        <w:jc w:val="both"/>
        <w:rPr>
          <w:rFonts w:ascii="Times New Roman" w:hAnsi="Times New Roman"/>
          <w:sz w:val="20"/>
        </w:rPr>
      </w:pPr>
      <w:r>
        <w:rPr>
          <w:rFonts w:ascii="Times New Roman" w:hAnsi="Times New Roman"/>
          <w:sz w:val="20"/>
        </w:rPr>
        <w:t xml:space="preserve">We have granted to the underwriters an option, exercisable for 30 days from the date of this prospectus, to purchase up to 2,550,000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shows the per share and total public offering price, underwriting discounts and commissions, and proceeds before expenses to us. These amounts are shown assuming both no exercise and full exercise of the underwriters’ over-allotment option.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83"/>
        <w:gridCol w:w="277"/>
        <w:gridCol w:w="209"/>
        <w:gridCol w:w="902"/>
        <w:gridCol w:w="60"/>
        <w:gridCol w:w="277"/>
        <w:gridCol w:w="140"/>
        <w:gridCol w:w="1407"/>
        <w:gridCol w:w="60"/>
        <w:gridCol w:w="277"/>
        <w:gridCol w:w="140"/>
        <w:gridCol w:w="1407"/>
        <w:gridCol w:w="66"/>
      </w:tblGrid>
      <w:tr>
        <w:trPr/>
        <w:tc>
          <w:tcPr>
            <w:tcW w:w="4983"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983"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11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343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4983"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1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5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 Exercise</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5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Full Exercise</w:t>
            </w:r>
          </w:p>
        </w:tc>
        <w:tc>
          <w:tcPr>
            <w:tcW w:w="66" w:type="dxa"/>
            <w:tcBorders/>
            <w:vAlign w:val="bottom"/>
          </w:tcPr>
          <w:p>
            <w:pPr>
              <w:pStyle w:val="TableContents"/>
              <w:bidi w:val="0"/>
              <w:spacing w:before="0" w:after="283"/>
              <w:jc w:val="left"/>
              <w:rPr/>
            </w:pPr>
            <w:r>
              <w:rPr/>
              <w:t> </w:t>
            </w:r>
          </w:p>
        </w:tc>
      </w:tr>
      <w:tr>
        <w:trPr/>
        <w:tc>
          <w:tcPr>
            <w:tcW w:w="49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277"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w:t>
            </w:r>
          </w:p>
        </w:tc>
        <w:tc>
          <w:tcPr>
            <w:tcW w:w="90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7"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983"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 to be paid by us</w:t>
            </w:r>
          </w:p>
        </w:tc>
        <w:tc>
          <w:tcPr>
            <w:tcW w:w="277"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90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7"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9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277"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w:t>
            </w:r>
          </w:p>
        </w:tc>
        <w:tc>
          <w:tcPr>
            <w:tcW w:w="90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7"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 estimated offering expenses payable by us, exclusive of the underwriting discounts and commissions, are approximately $3.6 million. We have also agreed to reimburse the underwriters for expenses relating to clearance of this offering with the Financial Industry Regulatory Authority up to $40,000. </w:t>
      </w:r>
    </w:p>
    <w:p>
      <w:pPr>
        <w:pStyle w:val="TextBody"/>
        <w:bidi w:val="0"/>
        <w:spacing w:before="240" w:after="0"/>
        <w:jc w:val="both"/>
        <w:rPr>
          <w:rFonts w:ascii="Times New Roman" w:hAnsi="Times New Roman"/>
          <w:sz w:val="20"/>
        </w:rPr>
      </w:pPr>
      <w:r>
        <w:rPr>
          <w:rFonts w:ascii="Times New Roman" w:hAnsi="Times New Roman"/>
          <w:sz w:val="20"/>
        </w:rPr>
        <w:t xml:space="preserve">The underwriters have informed us that they do not intend sales to discretionary accounts to exceed 5% of the total number of shares of common stock offered by them. </w:t>
      </w:r>
    </w:p>
    <w:p>
      <w:pPr>
        <w:pStyle w:val="TextBody"/>
        <w:bidi w:val="0"/>
        <w:spacing w:before="240" w:after="0"/>
        <w:jc w:val="both"/>
        <w:rPr>
          <w:rFonts w:ascii="Times New Roman" w:hAnsi="Times New Roman"/>
          <w:sz w:val="20"/>
        </w:rPr>
      </w:pPr>
      <w:r>
        <w:rPr>
          <w:rFonts w:ascii="Times New Roman" w:hAnsi="Times New Roman"/>
          <w:sz w:val="20"/>
        </w:rPr>
        <w:t xml:space="preserve">We have applied to list our common stock on the Nasdaq Global Market under the trading symbol “ATTO” and this offering is contingent upon obtaining approval of such listing. </w:t>
      </w:r>
    </w:p>
    <w:p>
      <w:pPr>
        <w:pStyle w:val="TextBody"/>
        <w:bidi w:val="0"/>
        <w:spacing w:before="240" w:after="0"/>
        <w:jc w:val="both"/>
        <w:rPr>
          <w:rFonts w:ascii="Times New Roman" w:hAnsi="Times New Roman"/>
          <w:sz w:val="20"/>
        </w:rPr>
      </w:pPr>
      <w:r>
        <w:rPr>
          <w:rFonts w:ascii="Times New Roman" w:hAnsi="Times New Roman"/>
          <w:sz w:val="20"/>
        </w:rPr>
        <w:t xml:space="preserve">We and all of our directors and officers and the holders of substantially all of our securities have entered into lock-up agreements with the underwriters agreeing that, subject to certain exceptions, without the prior written consent of Morgan Stanley &amp; Co. LLC, Leerink Partners LLC, Citigroup Global Markets Inc. and RBC Capital Markets, LLC on behalf of the underwriters, we and they will not, and will not publicly disclose an intention to, during the period ending 180 days after the date of this prospectus (the restricted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submit or file any registration statement with the SEC relating to the offering of any shares of common stock or any securities convertible into or exercisable or exchangeable for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enter into any hedging, swap or other arrangement that transfers to another, in whole or in part, any of the economic consequences of ownership of the common stock; </w:t>
            </w:r>
          </w:p>
        </w:tc>
      </w:tr>
    </w:tbl>
    <w:p>
      <w:pPr>
        <w:pStyle w:val="TextBody"/>
        <w:bidi w:val="0"/>
        <w:spacing w:before="240" w:after="0"/>
        <w:jc w:val="both"/>
        <w:rPr>
          <w:rFonts w:ascii="Times New Roman" w:hAnsi="Times New Roman"/>
          <w:sz w:val="20"/>
        </w:rPr>
      </w:pPr>
      <w:r>
        <w:rPr>
          <w:rFonts w:ascii="Times New Roman" w:hAnsi="Times New Roman"/>
          <w:sz w:val="20"/>
        </w:rPr>
        <w:t xml:space="preserve">whether any such transaction described above is to be settled by delivery of common stock or such other securities, in cash or otherwise. In addition, we and each such person have agreed that, without the prior written consent of Morgan Stanley &amp; Co. LLC, Leerink Partners LLC, Citigroup Global Markets Inc. and RBC Capital Markets,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 </w:t>
      </w:r>
    </w:p>
    <w:p>
      <w:pPr>
        <w:pStyle w:val="TextBody"/>
        <w:bidi w:val="0"/>
        <w:spacing w:before="240" w:after="0"/>
        <w:jc w:val="both"/>
        <w:rPr>
          <w:rFonts w:ascii="Times New Roman" w:hAnsi="Times New Roman"/>
          <w:sz w:val="20"/>
        </w:rPr>
      </w:pPr>
      <w:r>
        <w:rPr>
          <w:rFonts w:ascii="Times New Roman" w:hAnsi="Times New Roman"/>
          <w:sz w:val="20"/>
        </w:rPr>
        <w:t xml:space="preserve">With respect to us, the restrictions described in the immediately preceding paragraph do not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sale of shares to the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issuance by us of shares of common stock upon the exercise of an option or a warrant or the conversion of a security outstanding on the date of this prospectus of which the underwriters have been advised in writing;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facilitating the establishment of a trading plan on behalf of any of our stockholders, officers or directors pursuant to Rule 10b5-1 under the Exchange Act for the transfer of shares of our common stock, provided that (i) such plan does not provide for the transfer of common stock during the restricted period and (ii) to the extent a public announcement or filing under the Exchange Act, if any, is required of or voluntarily made by us regarding the establishment of such plan, such announcement or filing shall include a statement to the effect that no transfer of common stock may be made under such plan during the restricted period. </w:t>
            </w:r>
          </w:p>
        </w:tc>
      </w:tr>
    </w:tbl>
    <w:p>
      <w:pPr>
        <w:pStyle w:val="TextBody"/>
        <w:bidi w:val="0"/>
        <w:spacing w:before="240" w:after="0"/>
        <w:jc w:val="both"/>
        <w:rPr>
          <w:rFonts w:ascii="Times New Roman" w:hAnsi="Times New Roman"/>
          <w:sz w:val="20"/>
        </w:rPr>
      </w:pPr>
      <w:r>
        <w:rPr>
          <w:rFonts w:ascii="Times New Roman" w:hAnsi="Times New Roman"/>
          <w:sz w:val="20"/>
        </w:rPr>
        <w:t xml:space="preserve">With respect to our directors, officers and securityholders, the restrictions described above do not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transactions relating to shares of common stock or other securities acquired in this offering or in open market transactions after the completion of this offering, provided that no filing under Section 16(a) of the Exchange Act or other public announcement shall be required or shall be voluntarily made during the restricted period in connection with subsequent sales of common stock or other securities acquired in this offering or in such open market transactions;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transfers of shares of common stock or any security convertible into common stock as (i) a bona fide gift; or to a charitable organization or educational institution, (ii) to an immediate family member of the holder or to any trust for the direct or indirect benefit of the holder or an immediate family member of the holder, or if the holder is a trust, to a grantor, trustee or beneficiary of the trust (including such beneficiary’s estate) of the holder, (iii) to any corporation, partnership, limited liability company, investment fund, trust or other entity of which the holder and the immediate family of the holder are the legal and beneficial owner of all of the outstanding equity securities or similar interests, or (iv) by will, other testamentary document or intestate succession to the legal representative, heir, beneficiary or an immediate family member of the holder; provided that in the case of any transfer or distribution pursuant to this clause (b), (A) such transfer shall not involve a disposition for value, (B) each donee, distributee or transferee shall sign and deliver a lock-up agreement and (C) no public disclosure or filing shall be made voluntarily during the restricted period, and to the extent a filing under Section 16(a) of the Exchange Act is required during the restricted period as a result of transfers made pursuant to this clause (b), it shall clearly indicate that the filing relates to the circumstances described in this clause (b), including that the securities remain subject to the terms of the lock-up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the holder is a corporation, partnership, limited liability company, trust or other business entity, transfers, dispositions or distributions of shares of common stock or any security convertible into or exercisable or exchangeable for shares of common stock (i) to another corporation, partnership, limited liability company, investment fund trust or other business entity that is a subsidiary or an affiliate (within the meaning set forth in Rule 405 under the Securities Act and including the subsidiaries of the holder) of the holder, (ii) to any investment fund or other entity controlling, controlled by, managing or managed by or under common control or management with the holder (including, for the avoidance of doubt, where the holder is a partnership, to its general partner or a successor partnership or fund, or any other funds managed by such partnership) or (iii) to its current or former stockholders, limited partners, general partners, managers, members, beneficiaries or other equityholders or to the estate of any such stockholders, limited partners, general partners, members, beneficiaries or equityholders; provided that in the case of any transfer or distribution pursuant to this clause (c), (i) each transferee, donee or distributee shall sign and deliver a lock-up agreement, (ii) no filing under Section 16(a) of the Exchange Act or other public announcement, reporting a reduction in beneficial ownership of shares of common stock, shall be required or shall be voluntarily made during the restricted period (other than a required filing on Schedule 13D, 13F or 13G) and (iii) such transfer shall not involve a disposition for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facilitating the establishment or amendment of a trading plan on behalf of a shareholder, officer or director of ours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the holder or us regarding the establishment or amendment of such plan during the restricted period, such announcement or filing shall include a statement to the effect that no transfer of common stock may be made under such plan during the restricted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transfer of shares of common stock or any other securities to us to satisfy any tax, including estimated tax, remittance or other payment obligations of the holder arising in connection with a vesting event of our securities, upon the settlement of restricted stock units or the payment due for the exercise of options (including a transfer to us for the “net” or “cashless” exercise of options) or other rights to purchase our securities, in all such cases pursuant to equity awards granted under a stock incentive plan other equity award plan described in this prospectus; provided that any remaining shares of common stock or other securities received upon such vesting, settlement, or exercise shall be subject to the terms of the lock-up agreement; and provided further, that no filing under Section 16(a) of the Exchange Act or other public announcement, reporting a reduction in beneficial ownership of shares of common stock, shall be voluntarily made during the restricted period and, to the extent a filing under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Section 16(a) of the Exchange Act is required during the restricted period as a result of transfers made pursuant to this clause (e), such filing shall clearly indicate that the filing relates to the circumstances described in this clause (e), including that (i) the securities remain subject to the terms of the lock-up agreement and (ii) no securities were sold by the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0"/>
        <w:gridCol w:w="9289"/>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transfer of shares of common stock or any other securities that occurs by operation of law pursuant to a qualified domestic order or other court order in connection with divorce settlement, provided that (i) the transferee shall sign and deliver a lock-up agreement, (ii) no public disclosure or filing shall be voluntarily made during the restricted period and (iii) any filing required under Section 16(a) of the Exchange Act during the restricted period shall clearly indicate in the footnotes thereto that the filing relates to the circumstances described in this clause, including that the securities remain subject to the terms of the lock-up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transfers to us (A) from any of our employees upon death, disability or termination of employment, in each case, of such employee or (B) pursuant to any contractual arrangement as in effect on the date of this prospectus and described in this prospectus or in an exhibit filed with the registration statement related to this offering that provides for the repurchase of shares of common stock in connection with the termination of the holder’s employment with or service to us; provided that in the case of clause (B), no public disclosure or filing under Section 16(a) of the Exchange Act shall be made voluntarily during the restricted period, and to the extent a filing under Section 16(a) of the Exchange Act is required during the restricted period as a result of transfers made pursuant to this clause, it shall clearly indicate that the filing relates to the circumstances described in this clause;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conversion of shares of our redeemable convertible preferred stock into shares of common stock as described in this prospectus, provided that, in each case such shares shall continue to be subject to the restrictions on transfer set forth in the lock-up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transfer of shares of common stock or other securities pursuant to a bona fide third-party tender offer, merger, consolidation or other similar transaction that is approved by our board of directors, made to all holders of common stock involving a change of control, provided that, in the event that the tender offer, merger, consolidation or other such transaction is not completed, the common stock owned by the holder shall remain subject to the restrictions contained in the lock-up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exercise of stock option awards and the settlement of restricted stock units or other equity awards granted pursuant to equity incentive plans described in this prospectus; provided that (i) the shares of common stock received upon such exercise, vesting or settlement shall remain subject to the restrictions contained in the lock-up agreement and (ii) no public disclosure or filing under Section 16(a) of the Exchange Act shall be made voluntarily during the restricted period, and to the extent a filing under Section 16(a) of the Exchange Act is required during the restricted period as a result of transfers made pursuant to this clause, it shall clearly indicate that the filing relates to the circumstances described in this clause. </w:t>
            </w:r>
          </w:p>
        </w:tc>
      </w:tr>
    </w:tbl>
    <w:p>
      <w:pPr>
        <w:pStyle w:val="TextBody"/>
        <w:bidi w:val="0"/>
        <w:spacing w:before="240" w:after="0"/>
        <w:jc w:val="both"/>
        <w:rPr>
          <w:rFonts w:ascii="Times New Roman" w:hAnsi="Times New Roman"/>
          <w:sz w:val="20"/>
        </w:rPr>
      </w:pPr>
      <w:r>
        <w:rPr>
          <w:rFonts w:ascii="Times New Roman" w:hAnsi="Times New Roman"/>
          <w:sz w:val="20"/>
        </w:rPr>
        <w:t xml:space="preserve">Morgan Stanley &amp; Co. LLC, Leerink Partners LLC, Citigroup Global Markets Inc. and RBC Capital Markets, LLC, in their sole discretion, may release the common stock and other securities subject to the lock-up agreements described above in whole or in part at any time. </w:t>
      </w:r>
    </w:p>
    <w:p>
      <w:pPr>
        <w:pStyle w:val="TextBody"/>
        <w:bidi w:val="0"/>
        <w:spacing w:before="240" w:after="0"/>
        <w:jc w:val="both"/>
        <w:rPr>
          <w:rFonts w:ascii="Times New Roman" w:hAnsi="Times New Roman"/>
          <w:sz w:val="20"/>
        </w:rPr>
      </w:pPr>
      <w:r>
        <w:rPr>
          <w:rFonts w:ascii="Times New Roman" w:hAnsi="Times New Roman"/>
          <w:sz w:val="20"/>
        </w:rPr>
        <w:t xml:space="preserve">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 </w:t>
      </w:r>
    </w:p>
    <w:p>
      <w:pPr>
        <w:pStyle w:val="TextBody"/>
        <w:bidi w:val="0"/>
        <w:spacing w:before="240" w:after="0"/>
        <w:jc w:val="both"/>
        <w:rPr>
          <w:rFonts w:ascii="Times New Roman" w:hAnsi="Times New Roman"/>
          <w:sz w:val="20"/>
        </w:rPr>
      </w:pPr>
      <w:r>
        <w:rPr>
          <w:rFonts w:ascii="Times New Roman" w:hAnsi="Times New Roman"/>
          <w:sz w:val="20"/>
        </w:rPr>
        <w:t xml:space="preserve">We and the underwriters have agreed to indemnify each other against certain liabilities, including liabilities under the Securities Act. </w:t>
      </w:r>
    </w:p>
    <w:p>
      <w:pPr>
        <w:pStyle w:val="TextBody"/>
        <w:bidi w:val="0"/>
        <w:spacing w:before="240" w:after="0"/>
        <w:jc w:val="both"/>
        <w:rPr>
          <w:rFonts w:ascii="Times New Roman" w:hAnsi="Times New Roman"/>
          <w:sz w:val="20"/>
        </w:rPr>
      </w:pPr>
      <w:r>
        <w:rPr>
          <w:rFonts w:ascii="Times New Roman" w:hAnsi="Times New Roman"/>
          <w:sz w:val="20"/>
        </w:rPr>
        <w:t xml:space="preserve">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both"/>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For example, LifeSci Consulting, LLC, an affiliate of LifeSci Capital LLC, has provided consulting services to us unrelated to this offering in an amount equal to approximately $250,000 with respect to market landscape and size for certain of our clinical programs. See the section titled “Market and Industry Data” for additional information. </w:t>
      </w:r>
    </w:p>
    <w:p>
      <w:pPr>
        <w:pStyle w:val="TextBody"/>
        <w:bidi w:val="0"/>
        <w:spacing w:before="240" w:after="0"/>
        <w:jc w:val="both"/>
        <w:rPr>
          <w:rFonts w:ascii="Times New Roman" w:hAnsi="Times New Roman"/>
          <w:sz w:val="20"/>
        </w:rPr>
      </w:pPr>
      <w:r>
        <w:rPr>
          <w:rFonts w:ascii="Times New Roman" w:hAnsi="Times New Roman"/>
          <w:sz w:val="20"/>
        </w:rPr>
        <w:t xml:space="preserve">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Pricing of the Offering </w:t>
      </w:r>
    </w:p>
    <w:p>
      <w:pPr>
        <w:pStyle w:val="TextBody"/>
        <w:bidi w:val="0"/>
        <w:spacing w:before="120" w:after="0"/>
        <w:jc w:val="both"/>
        <w:rPr>
          <w:rFonts w:ascii="Times New Roman" w:hAnsi="Times New Roman"/>
          <w:sz w:val="20"/>
        </w:rPr>
      </w:pPr>
      <w:r>
        <w:rPr>
          <w:rFonts w:ascii="Times New Roman" w:hAnsi="Times New Roman"/>
          <w:sz w:val="20"/>
        </w:rPr>
        <w:t xml:space="preserve">Prior to this offering, there has been no public market for our common stock. The initial public offering price will be determined by negotiations between us and the representatives. Among the factors to be considered in determining the initial public offering price will be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Canada </w:t>
      </w:r>
    </w:p>
    <w:p>
      <w:pPr>
        <w:pStyle w:val="TextBody"/>
        <w:bidi w:val="0"/>
        <w:spacing w:before="120" w:after="0"/>
        <w:jc w:val="both"/>
        <w:rPr>
          <w:rFonts w:ascii="Times New Roman" w:hAnsi="Times New Roman"/>
          <w:sz w:val="20"/>
        </w:rPr>
      </w:pPr>
      <w:r>
        <w:rPr>
          <w:rFonts w:ascii="Times New Roman" w:hAnsi="Times New Roman"/>
          <w:sz w:val="20"/>
        </w:rPr>
        <w:t>The shares may be sold only to purchasers purchasing, or deemed to be purchasing, as principal that are accredited investors, as defined in National Instrument 45-106 </w:t>
      </w:r>
      <w:r>
        <w:rPr>
          <w:rFonts w:ascii="Times New Roman" w:hAnsi="Times New Roman"/>
          <w:i/>
          <w:sz w:val="20"/>
        </w:rPr>
        <w:t>Prospectus Exemptions</w:t>
      </w:r>
      <w:r>
        <w:rPr>
          <w:rFonts w:ascii="Times New Roman" w:hAnsi="Times New Roman"/>
          <w:sz w:val="20"/>
        </w:rPr>
        <w:t> or subsection 73.3(1) of the </w:t>
      </w:r>
      <w:r>
        <w:rPr>
          <w:rFonts w:ascii="Times New Roman" w:hAnsi="Times New Roman"/>
          <w:i/>
          <w:sz w:val="20"/>
        </w:rPr>
        <w:t>Securities Act</w:t>
      </w:r>
      <w:r>
        <w:rPr>
          <w:rFonts w:ascii="Times New Roman" w:hAnsi="Times New Roman"/>
          <w:sz w:val="20"/>
        </w:rPr>
        <w:t> (Ontario), and are permitted clients, as defined in National Instrument 31-103 </w:t>
      </w:r>
      <w:r>
        <w:rPr>
          <w:rFonts w:ascii="Times New Roman" w:hAnsi="Times New Roman"/>
          <w:i/>
          <w:sz w:val="20"/>
        </w:rPr>
        <w:t>Registration Requirements, Exemptions and Ongoing Registrant Obligations</w:t>
      </w:r>
      <w:r>
        <w:rPr>
          <w:rFonts w:ascii="Times New Roman" w:hAnsi="Times New Roman"/>
          <w:sz w:val="20"/>
        </w:rPr>
        <w:t xml:space="preserve">. Any resale of the shares must be made in accordance with an exemption from, or in a transaction not subject to, the prospectus requirements of applicable securities laws. </w:t>
      </w:r>
    </w:p>
    <w:p>
      <w:pPr>
        <w:pStyle w:val="TextBody"/>
        <w:bidi w:val="0"/>
        <w:spacing w:before="240" w:after="0"/>
        <w:jc w:val="both"/>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both"/>
        <w:rPr>
          <w:rFonts w:ascii="Times New Roman" w:hAnsi="Times New Roman"/>
          <w:sz w:val="20"/>
        </w:rPr>
      </w:pPr>
      <w:r>
        <w:rPr>
          <w:rFonts w:ascii="Times New Roman" w:hAnsi="Times New Roman"/>
          <w:sz w:val="20"/>
        </w:rPr>
        <w:t>Pursuant to section 3A.3 of National Instrument 33-105 </w:t>
      </w:r>
      <w:r>
        <w:rPr>
          <w:rFonts w:ascii="Times New Roman" w:hAnsi="Times New Roman"/>
          <w:i/>
          <w:sz w:val="20"/>
        </w:rPr>
        <w:t>Underwriting Conflicts</w:t>
      </w:r>
      <w:r>
        <w:rPr>
          <w:rFonts w:ascii="Times New Roman" w:hAnsi="Times New Roman"/>
          <w:sz w:val="20"/>
        </w:rPr>
        <w:t xml:space="preserve">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European Economic Area </w:t>
      </w:r>
    </w:p>
    <w:p>
      <w:pPr>
        <w:pStyle w:val="TextBody"/>
        <w:bidi w:val="0"/>
        <w:spacing w:before="120" w:after="0"/>
        <w:jc w:val="both"/>
        <w:rPr>
          <w:rFonts w:ascii="Times New Roman" w:hAnsi="Times New Roman"/>
          <w:sz w:val="20"/>
        </w:rPr>
      </w:pPr>
      <w:r>
        <w:rPr>
          <w:rFonts w:ascii="Times New Roman" w:hAnsi="Times New Roman"/>
          <w:sz w:val="20"/>
        </w:rPr>
        <w:t xml:space="preserve">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EU Prospectus Regulation (as defined below), except that offers of shares may be made to the public in that Relevant State at any time under the following exemptions under the EU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any legal entity which is a qualified investor as defined under Article 2 of the EU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EU Prospectus Regulation), subject to obtaining the prior consent of the representatives;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any other circumstances falling within Article 1(4) of the EU Prospectus Regulation,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provided that no such offer of shares shall require us or any of the representatives to publish a prospectus pursuant to Article 3 of the EU Prospectus Regulation or supplement a prospectus pursuant to Article 23 of the EU Prospectus Regulation. </w:t>
      </w:r>
    </w:p>
    <w:p>
      <w:pPr>
        <w:pStyle w:val="TextBody"/>
        <w:bidi w:val="0"/>
        <w:spacing w:before="240" w:after="0"/>
        <w:jc w:val="both"/>
        <w:rPr>
          <w:rFonts w:ascii="Times New Roman" w:hAnsi="Times New Roman"/>
          <w:sz w:val="20"/>
        </w:rPr>
      </w:pPr>
      <w:r>
        <w:rPr>
          <w:rFonts w:ascii="Times New Roman" w:hAnsi="Times New Roman"/>
          <w:sz w:val="20"/>
        </w:rPr>
        <w:t xml:space="preserve">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any shares, and the expression “EU Prospectus Regulation” means Regulation (EU) 2017/1129 (as amended).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United Kingdom </w:t>
      </w:r>
    </w:p>
    <w:p>
      <w:pPr>
        <w:pStyle w:val="TextBody"/>
        <w:bidi w:val="0"/>
        <w:spacing w:before="120" w:after="0"/>
        <w:jc w:val="both"/>
        <w:rPr>
          <w:rFonts w:ascii="Times New Roman" w:hAnsi="Times New Roman"/>
          <w:sz w:val="20"/>
        </w:rPr>
      </w:pPr>
      <w:r>
        <w:rPr>
          <w:rFonts w:ascii="Times New Roman" w:hAnsi="Times New Roman"/>
          <w:sz w:val="20"/>
        </w:rPr>
        <w:t xml:space="preserve">Each underwriter has represented and agreed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it has only communicated or caused to be communicated and will only communicate or cause to be communicated an invitation or inducement to engage in investment activity (within the meaning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Section 21 of the Financial Services and Markets Act 2000 (the FSMA)) received by it in connection with the issue or sale of the shares in circumstances in which Section 21(1) of the FSMA does not apply to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it has complied and will comply with all applicable provisions of the FSMA with respect to anything done by it in relation to the shares in, from or otherwise involving the United Kingdom. </w:t>
            </w:r>
          </w:p>
        </w:tc>
      </w:tr>
    </w:tbl>
    <w:p>
      <w:pPr>
        <w:pStyle w:val="TextBody"/>
        <w:bidi w:val="0"/>
        <w:spacing w:before="240" w:after="0"/>
        <w:jc w:val="both"/>
        <w:rPr>
          <w:rFonts w:ascii="Times New Roman" w:hAnsi="Times New Roman"/>
          <w:sz w:val="20"/>
        </w:rPr>
      </w:pPr>
      <w:r>
        <w:rPr>
          <w:rFonts w:ascii="Times New Roman" w:hAnsi="Times New Roman"/>
          <w:sz w:val="20"/>
        </w:rPr>
        <w:t xml:space="preserve">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any legal entity which is a qualified investor as defined under Article 2 of the UK Prospectus Regulation (as defined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UK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any other circumstances falling within Section 86 of the FSMA, </w:t>
            </w:r>
          </w:p>
        </w:tc>
      </w:tr>
    </w:tbl>
    <w:p>
      <w:pPr>
        <w:pStyle w:val="TextBody"/>
        <w:bidi w:val="0"/>
        <w:spacing w:before="240" w:after="0"/>
        <w:jc w:val="both"/>
        <w:rPr>
          <w:rFonts w:ascii="Times New Roman" w:hAnsi="Times New Roman"/>
          <w:sz w:val="20"/>
        </w:rPr>
      </w:pPr>
      <w:r>
        <w:rPr>
          <w:rFonts w:ascii="Times New Roman" w:hAnsi="Times New Roman"/>
          <w:sz w:val="20"/>
        </w:rPr>
        <w:t xml:space="preserve">provided that no such offer of the shares shall require us or any of the representatives to publish a prospectus pursuant to Section 85 of the FSMA or supplement a prospectus pursuant to Article 23 of the UK Prospectus Regulation. </w:t>
      </w:r>
    </w:p>
    <w:p>
      <w:pPr>
        <w:pStyle w:val="TextBody"/>
        <w:bidi w:val="0"/>
        <w:spacing w:before="240" w:after="0"/>
        <w:jc w:val="both"/>
        <w:rPr>
          <w:rFonts w:ascii="Times New Roman" w:hAnsi="Times New Roman"/>
          <w:sz w:val="20"/>
        </w:rPr>
      </w:pPr>
      <w:r>
        <w:rPr>
          <w:rFonts w:ascii="Times New Roman" w:hAnsi="Times New Roman"/>
          <w:sz w:val="20"/>
        </w:rPr>
        <w:t xml:space="preserve">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is only for distribution to and directed at: (i) in the United Kingdom, persons having professional experience in matters relating to investments falling within Article 19(5) of the FSMA (Financial Promotion) Order 2005, as amended (the Order), and high net worth entities falling within Article 49(2)(a) to (d) of the Order; (ii) persons who are outside the United Kingdom; and (iii) any other person to whom it can otherwise be lawfully distributed (all such persons together, Relevant Persons). Any investment or investment activity to which this prospectus relates is available only to and will be engaged in only with Relevant Persons, and any person who is not a Relevant Person should not rely on it. </w:t>
      </w:r>
    </w:p>
    <w:p>
      <w:pPr>
        <w:pStyle w:val="TextBody"/>
        <w:bidi w:val="0"/>
        <w:spacing w:before="360" w:after="0"/>
        <w:jc w:val="left"/>
        <w:rPr>
          <w:rFonts w:ascii="Times New Roman" w:hAnsi="Times New Roman"/>
          <w:b/>
          <w:i/>
          <w:sz w:val="20"/>
        </w:rPr>
      </w:pPr>
      <w:r>
        <w:rPr>
          <w:rFonts w:ascii="Times New Roman" w:hAnsi="Times New Roman"/>
          <w:b/>
          <w:i/>
          <w:sz w:val="20"/>
        </w:rPr>
        <w:t xml:space="preserve">Hong Kong </w:t>
      </w:r>
    </w:p>
    <w:p>
      <w:pPr>
        <w:pStyle w:val="TextBody"/>
        <w:bidi w:val="0"/>
        <w:spacing w:before="120" w:after="0"/>
        <w:jc w:val="both"/>
        <w:rPr>
          <w:rFonts w:ascii="Times New Roman" w:hAnsi="Times New Roman"/>
          <w:sz w:val="20"/>
        </w:rPr>
      </w:pPr>
      <w:r>
        <w:rPr>
          <w:rFonts w:ascii="Times New Roman" w:hAnsi="Times New Roman"/>
          <w:sz w:val="20"/>
        </w:rPr>
        <w:t xml:space="preserve">The shares of common stock have not been offered or sold and will not be offered or sold in Hong Kong, by means of any document, other than (i) to “professional investors” as defined in the Securities and Futures Ordinance (Cap. 571) of Hong Kong and any rules made under that Ordinance or (ii)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Japan </w:t>
      </w:r>
    </w:p>
    <w:p>
      <w:pPr>
        <w:pStyle w:val="TextBody"/>
        <w:bidi w:val="0"/>
        <w:spacing w:before="120" w:after="0"/>
        <w:jc w:val="both"/>
        <w:rPr>
          <w:rFonts w:ascii="Times New Roman" w:hAnsi="Times New Roman"/>
          <w:sz w:val="20"/>
        </w:rPr>
      </w:pPr>
      <w:r>
        <w:rPr>
          <w:rFonts w:ascii="Times New Roman" w:hAnsi="Times New Roman"/>
          <w:sz w:val="20"/>
        </w:rPr>
        <w:t xml:space="preserve">The shares of common stock have not been and will not be registered under the Financial Instruments and Exchange Law of Japan (Law No. 25 of 1948, as amended) and, accordingly, will not be offered or sold, directly or indirectly, in Japan, or for the benefit of any Japanese Person (as defined below)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means any person resident in Japan, including any corporation or other entity organized under the laws of Japan. </w:t>
      </w:r>
    </w:p>
    <w:p>
      <w:pPr>
        <w:pStyle w:val="TextBody"/>
        <w:bidi w:val="0"/>
        <w:spacing w:before="360" w:after="0"/>
        <w:jc w:val="left"/>
        <w:rPr>
          <w:rFonts w:ascii="Times New Roman" w:hAnsi="Times New Roman"/>
          <w:b/>
          <w:i/>
          <w:sz w:val="20"/>
        </w:rPr>
      </w:pPr>
      <w:r>
        <w:rPr>
          <w:rFonts w:ascii="Times New Roman" w:hAnsi="Times New Roman"/>
          <w:b/>
          <w:i/>
          <w:sz w:val="20"/>
        </w:rPr>
        <w:t xml:space="preserve">Singapore </w:t>
      </w:r>
    </w:p>
    <w:p>
      <w:pPr>
        <w:pStyle w:val="TextBody"/>
        <w:bidi w:val="0"/>
        <w:spacing w:before="120" w:after="0"/>
        <w:jc w:val="both"/>
        <w:rPr>
          <w:rFonts w:ascii="Times New Roman" w:hAnsi="Times New Roman"/>
          <w:sz w:val="20"/>
        </w:rPr>
      </w:pPr>
      <w:r>
        <w:rPr>
          <w:rFonts w:ascii="Times New Roman" w:hAnsi="Times New Roman"/>
          <w:sz w:val="20"/>
        </w:rPr>
        <w:t xml:space="preserve">This prospectus has not been registered as a prospectus with the Monetary Authority of Singapore. Accordingly, the shares of common stock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of common stock,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w:t>
      </w:r>
    </w:p>
    <w:p>
      <w:pPr>
        <w:pStyle w:val="TextBody"/>
        <w:bidi w:val="0"/>
        <w:spacing w:before="240" w:after="0"/>
        <w:jc w:val="both"/>
        <w:rPr>
          <w:rFonts w:ascii="Times New Roman" w:hAnsi="Times New Roman"/>
          <w:sz w:val="20"/>
        </w:rPr>
      </w:pPr>
      <w:r>
        <w:rPr>
          <w:rFonts w:ascii="Times New Roman" w:hAnsi="Times New Roman"/>
          <w:sz w:val="20"/>
        </w:rPr>
        <w:t xml:space="preserve">Where the shares of common stock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240" w:after="0"/>
        <w:jc w:val="both"/>
        <w:rPr>
          <w:rFonts w:ascii="Times New Roman" w:hAnsi="Times New Roman"/>
          <w:sz w:val="20"/>
        </w:rPr>
      </w:pPr>
      <w:r>
        <w:rPr>
          <w:rFonts w:ascii="Times New Roman" w:hAnsi="Times New Roman"/>
          <w:sz w:val="20"/>
        </w:rPr>
        <w:t xml:space="preserve">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securities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204"/>
        <w:gridCol w:w="9288"/>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(a)</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275(1A) or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203"/>
        <w:gridCol w:w="9289"/>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(b)</w:t>
            </w:r>
          </w:p>
        </w:tc>
        <w:tc>
          <w:tcPr>
            <w:tcW w:w="203"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204"/>
        <w:gridCol w:w="9287"/>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(c)</w:t>
            </w:r>
          </w:p>
        </w:tc>
        <w:tc>
          <w:tcPr>
            <w:tcW w:w="204"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where the transfer is by operation of law;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204"/>
        <w:gridCol w:w="9289"/>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(d)</w:t>
            </w:r>
          </w:p>
        </w:tc>
        <w:tc>
          <w:tcPr>
            <w:tcW w:w="204"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as specified in Section 276(7) of the SFA.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Switzerland </w:t>
      </w:r>
    </w:p>
    <w:p>
      <w:pPr>
        <w:pStyle w:val="TextBody"/>
        <w:bidi w:val="0"/>
        <w:spacing w:before="120" w:after="0"/>
        <w:jc w:val="both"/>
        <w:rPr>
          <w:rFonts w:ascii="Times New Roman" w:hAnsi="Times New Roman"/>
          <w:sz w:val="20"/>
        </w:rPr>
      </w:pPr>
      <w:r>
        <w:rPr>
          <w:rFonts w:ascii="Times New Roman" w:hAnsi="Times New Roman"/>
          <w:sz w:val="20"/>
        </w:rPr>
        <w:t xml:space="preserve">The shares may not be publicly offered in Switzerland and will not be listed on the SIX Swiss Exchange (the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Rules or the listing rules of any other stock exchange or regulated trading facility in Switzerland. Neither this prospectus nor any other offering or marketing material relating to the shares or the offering may be publicly distributed or otherwise made publicly available in Switzerland. </w:t>
      </w:r>
    </w:p>
    <w:p>
      <w:pPr>
        <w:pStyle w:val="TextBody"/>
        <w:bidi w:val="0"/>
        <w:spacing w:before="240" w:after="0"/>
        <w:jc w:val="both"/>
        <w:rPr>
          <w:rFonts w:ascii="Times New Roman" w:hAnsi="Times New Roman"/>
          <w:sz w:val="20"/>
        </w:rPr>
      </w:pPr>
      <w:r>
        <w:rPr>
          <w:rFonts w:ascii="Times New Roman" w:hAnsi="Times New Roman"/>
          <w:sz w:val="20"/>
        </w:rPr>
        <w:t xml:space="preserve">Neither this prospectus nor any other offering or marketing material relating to us, the offering, or the shares have been or will be filed with or approved by any Swiss regulatory authority. In particular, this prospectus will not be filed with, and the offering of shares will not be supervised by, the Swiss Financial Market Supervisory Authority FINMA and the offering of shares has not been and will not be authorized under the Swiss Federal Act on Collective Investment Schemes (the CISA). The investor protection afforded to acquirers of interests in collective investment schemes under the CISA does not extend to acquirers of the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Dubai International Financial Centre </w:t>
      </w:r>
    </w:p>
    <w:p>
      <w:pPr>
        <w:pStyle w:val="TextBody"/>
        <w:bidi w:val="0"/>
        <w:spacing w:before="120" w:after="0"/>
        <w:jc w:val="both"/>
        <w:rPr>
          <w:rFonts w:ascii="Times New Roman" w:hAnsi="Times New Roman"/>
          <w:sz w:val="20"/>
        </w:rPr>
      </w:pPr>
      <w:r>
        <w:rPr>
          <w:rFonts w:ascii="Times New Roman" w:hAnsi="Times New Roman"/>
          <w:sz w:val="20"/>
        </w:rPr>
        <w:t xml:space="preserve">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 </w:t>
      </w:r>
    </w:p>
    <w:p>
      <w:pPr>
        <w:pStyle w:val="TextBody"/>
        <w:bidi w:val="0"/>
        <w:spacing w:before="360" w:after="0"/>
        <w:jc w:val="left"/>
        <w:rPr>
          <w:rFonts w:ascii="Times New Roman" w:hAnsi="Times New Roman"/>
          <w:b/>
          <w:i/>
          <w:sz w:val="20"/>
        </w:rPr>
      </w:pPr>
      <w:r>
        <w:rPr>
          <w:rFonts w:ascii="Times New Roman" w:hAnsi="Times New Roman"/>
          <w:b/>
          <w:i/>
          <w:sz w:val="20"/>
        </w:rPr>
        <w:t xml:space="preserve">Australia </w:t>
      </w:r>
    </w:p>
    <w:p>
      <w:pPr>
        <w:pStyle w:val="TextBody"/>
        <w:bidi w:val="0"/>
        <w:spacing w:before="120" w:after="0"/>
        <w:jc w:val="both"/>
        <w:rPr>
          <w:rFonts w:ascii="Times New Roman" w:hAnsi="Times New Roman"/>
          <w:sz w:val="20"/>
        </w:rPr>
      </w:pPr>
      <w:r>
        <w:rPr>
          <w:rFonts w:ascii="Times New Roman" w:hAnsi="Times New Roman"/>
          <w:sz w:val="20"/>
        </w:rPr>
        <w:t xml:space="preserve">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bidi w:val="0"/>
        <w:spacing w:before="240" w:after="0"/>
        <w:jc w:val="both"/>
        <w:rPr>
          <w:rFonts w:ascii="Times New Roman" w:hAnsi="Times New Roman"/>
          <w:sz w:val="20"/>
        </w:rPr>
      </w:pPr>
      <w:r>
        <w:rPr>
          <w:rFonts w:ascii="Times New Roman" w:hAnsi="Times New Roman"/>
          <w:sz w:val="20"/>
        </w:rPr>
        <w:t xml:space="preserve">Any offer in Australia of the shares may only be made to persons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 </w:t>
      </w:r>
    </w:p>
    <w:p>
      <w:pPr>
        <w:pStyle w:val="TextBody"/>
        <w:bidi w:val="0"/>
        <w:spacing w:before="240" w:after="0"/>
        <w:jc w:val="both"/>
        <w:rPr>
          <w:rFonts w:ascii="Times New Roman" w:hAnsi="Times New Roman"/>
          <w:sz w:val="20"/>
        </w:rPr>
      </w:pPr>
      <w:r>
        <w:rPr>
          <w:rFonts w:ascii="Times New Roman" w:hAnsi="Times New Roman"/>
          <w:sz w:val="20"/>
        </w:rPr>
        <w:t xml:space="preserve">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the shares must observe such Australian on-sale restrictions.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Israel </w:t>
      </w:r>
    </w:p>
    <w:p>
      <w:pPr>
        <w:pStyle w:val="TextBody"/>
        <w:bidi w:val="0"/>
        <w:spacing w:before="120" w:after="0"/>
        <w:jc w:val="both"/>
        <w:rPr>
          <w:rFonts w:ascii="Times New Roman" w:hAnsi="Times New Roman"/>
          <w:sz w:val="20"/>
        </w:rPr>
      </w:pPr>
      <w:r>
        <w:rPr>
          <w:rFonts w:ascii="Times New Roman" w:hAnsi="Times New Roman"/>
          <w:sz w:val="20"/>
        </w:rPr>
        <w:t xml:space="preserve">In the State of Israel this prospectus shall not be regarded as an offer to the public to purchase shares of common stock under the Israeli Securities Law, 5728 - 1968, which requires a prospectus to be published and authorized by the Israel Securities Authority, if it complies with certain provisions of Section 15 of the Israeli Securities Law, 5728 - 1968,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5728 - 1968, subject to certain conditions (the Qualified Investors). The Qualified Investors shall not be taken into account in the count of the Addressed Investors and may be offered to purchase shares of common stock in addition to the 35 Addressed Investors. The company has not and will not take any action that would require it to publish a prospectus in accordance with and subject to the Israeli Securities Law, 5728 - 1968. We have not and will not distribute this prospectus or make, distribute or direct an offer to subscribe for our common stock to any person within the State of Israel, other than to Qualified Investors and up to 35 Addressed Investors. </w:t>
      </w:r>
    </w:p>
    <w:p>
      <w:pPr>
        <w:pStyle w:val="TextBody"/>
        <w:bidi w:val="0"/>
        <w:spacing w:before="240" w:after="0"/>
        <w:jc w:val="both"/>
        <w:rPr>
          <w:rFonts w:ascii="Times New Roman" w:hAnsi="Times New Roman"/>
          <w:sz w:val="20"/>
        </w:rPr>
      </w:pPr>
      <w:r>
        <w:rPr>
          <w:rFonts w:ascii="Times New Roman" w:hAnsi="Times New Roman"/>
          <w:sz w:val="20"/>
        </w:rPr>
        <w:t xml:space="preserve">Qualified Investors may have to submit written evidence that they meet the definitions set out in of the First Addendum to the Israeli Securities Law, 5728 - 1968.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common stock; (iv) that the shares of common stock that it will be issued are, subject to exemptions available under the Israeli Securities Law, 5728 - 1968: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1" w:name="tx40469_19"/>
      <w:bookmarkEnd w:id="21"/>
      <w:r>
        <w:rPr>
          <w:rFonts w:ascii="Times New Roman" w:hAnsi="Times New Roman"/>
          <w:b/>
          <w:sz w:val="20"/>
        </w:rPr>
        <w:t xml:space="preserve">LEGAL MATTERS </w:t>
      </w:r>
    </w:p>
    <w:p>
      <w:pPr>
        <w:pStyle w:val="TextBody"/>
        <w:bidi w:val="0"/>
        <w:spacing w:before="240" w:after="0"/>
        <w:jc w:val="both"/>
        <w:rPr>
          <w:rFonts w:ascii="Times New Roman" w:hAnsi="Times New Roman"/>
          <w:sz w:val="20"/>
        </w:rPr>
      </w:pPr>
      <w:r>
        <w:rPr>
          <w:rFonts w:ascii="Times New Roman" w:hAnsi="Times New Roman"/>
          <w:sz w:val="20"/>
        </w:rPr>
        <w:t xml:space="preserve">The validity of the shares of our common stock offered by this prospectus will be passed upon for us by Fenwick &amp; West LLP, San Francisco, California. As of the date of this prospectus, individuals and entities associated with Fenwick &amp; West LLP beneficially own an aggregate of less than 0.001% of our common stock. Cooley LLP, San Diego, California is acting as counsel for the underwriters in connection with this offering. </w:t>
      </w:r>
    </w:p>
    <w:p>
      <w:pPr>
        <w:pStyle w:val="TextBody"/>
        <w:bidi w:val="0"/>
        <w:spacing w:before="480" w:after="0"/>
        <w:jc w:val="center"/>
        <w:rPr>
          <w:rFonts w:ascii="Times New Roman" w:hAnsi="Times New Roman"/>
          <w:b/>
          <w:sz w:val="20"/>
        </w:rPr>
      </w:pPr>
      <w:bookmarkStart w:id="22" w:name="tx40469_20"/>
      <w:bookmarkEnd w:id="22"/>
      <w:r>
        <w:rPr>
          <w:rFonts w:ascii="Times New Roman" w:hAnsi="Times New Roman"/>
          <w:b/>
          <w:sz w:val="20"/>
        </w:rPr>
        <w:t xml:space="preserve">EXPERTS </w:t>
      </w:r>
    </w:p>
    <w:p>
      <w:pPr>
        <w:pStyle w:val="TextBody"/>
        <w:bidi w:val="0"/>
        <w:spacing w:before="240" w:after="0"/>
        <w:jc w:val="both"/>
        <w:rPr>
          <w:rFonts w:ascii="Times New Roman" w:hAnsi="Times New Roman"/>
          <w:sz w:val="20"/>
        </w:rPr>
      </w:pPr>
      <w:r>
        <w:rPr>
          <w:rFonts w:ascii="Times New Roman" w:hAnsi="Times New Roman"/>
          <w:sz w:val="20"/>
        </w:rPr>
        <w:t xml:space="preserve">The financial statements as of December 31, 2025 and 2024 and for the years then ended included in this prospectus have been so included in reliance on the report of PricewaterhouseCoopers LLP, an independent registered public accounting firm, given on the authority of said firm as experts in auditing and accounting. </w:t>
      </w:r>
    </w:p>
    <w:p>
      <w:pPr>
        <w:pStyle w:val="TextBody"/>
        <w:bidi w:val="0"/>
        <w:spacing w:before="480" w:after="0"/>
        <w:jc w:val="center"/>
        <w:rPr>
          <w:rFonts w:ascii="Times New Roman" w:hAnsi="Times New Roman"/>
          <w:b/>
          <w:sz w:val="20"/>
        </w:rPr>
      </w:pPr>
      <w:bookmarkStart w:id="23" w:name="tx40469_21"/>
      <w:bookmarkEnd w:id="23"/>
      <w:r>
        <w:rPr>
          <w:rFonts w:ascii="Times New Roman" w:hAnsi="Times New Roman"/>
          <w:b/>
          <w:sz w:val="20"/>
        </w:rPr>
        <w:t xml:space="preserve">WHERE YOU CAN FIND ADDITIONAL INFORMATION </w:t>
      </w:r>
    </w:p>
    <w:p>
      <w:pPr>
        <w:pStyle w:val="TextBody"/>
        <w:bidi w:val="0"/>
        <w:spacing w:before="240" w:after="0"/>
        <w:jc w:val="both"/>
        <w:rPr>
          <w:rFonts w:ascii="Times New Roman" w:hAnsi="Times New Roman"/>
          <w:sz w:val="20"/>
        </w:rPr>
      </w:pPr>
      <w:r>
        <w:rPr>
          <w:rFonts w:ascii="Times New Roman" w:hAnsi="Times New Roman"/>
          <w:sz w:val="20"/>
        </w:rPr>
        <w:t xml:space="preserve">We have filed with the SEC a registration statement on Form S-1 under the Securities Act with respect to the shares of our common stock offered hereby. This prospectus, which constitutes a part of the registration statement, does not contain all of the information set forth in the registration statement or the exhibits filed therewith. For further information about us and the common stock offered hereby, reference is made to the registration statement and the exhibits filed therewith. Statements contained in this prospectus concerning the contents of any contract or any document are not necessarily complete. Each statement in this prospectus relating to a contract or document filed as an exhibit is qualified in all respects by the filed exhibit. The exhibits to the registration statement should be reviewed for the complete contents of these contracts and documents. </w:t>
      </w:r>
    </w:p>
    <w:p>
      <w:pPr>
        <w:pStyle w:val="TextBody"/>
        <w:bidi w:val="0"/>
        <w:spacing w:before="240" w:after="0"/>
        <w:jc w:val="both"/>
        <w:rPr>
          <w:rFonts w:ascii="Times New Roman" w:hAnsi="Times New Roman"/>
          <w:sz w:val="20"/>
        </w:rPr>
      </w:pPr>
      <w:r>
        <w:rPr>
          <w:rFonts w:ascii="Times New Roman" w:hAnsi="Times New Roman"/>
          <w:sz w:val="20"/>
        </w:rPr>
        <w:t xml:space="preserve">We currently do not file periodic reports with the SEC. Upon the completion of this offering, we will be required to file periodic reports, proxy statements and other information with the SEC pursuant to the Exchange Act. The SEC maintains a website that contains reports, proxy and information statements and other information regarding registrants that file electronically with the SEC. The address of the website is www.sec.gov. </w:t>
      </w:r>
    </w:p>
    <w:p>
      <w:pPr>
        <w:pStyle w:val="TextBody"/>
        <w:bidi w:val="0"/>
        <w:spacing w:before="240" w:after="0"/>
        <w:jc w:val="both"/>
        <w:rPr>
          <w:rFonts w:ascii="Times New Roman" w:hAnsi="Times New Roman"/>
          <w:sz w:val="20"/>
        </w:rPr>
      </w:pPr>
      <w:r>
        <w:rPr>
          <w:rFonts w:ascii="Times New Roman" w:hAnsi="Times New Roman"/>
          <w:sz w:val="20"/>
        </w:rPr>
        <w:t xml:space="preserve">We also maintain a website at https://www.attovia.com. Upon completion of this offering, you may access our proxy statements, annual reports on Form 10-K, quarterly reports on Form 10-Q, current reports on Form 8-K, and amendments to those reports filed or furnished pursuant to Section 13(a) or 15(d) of the Exchange Act with the SEC on our website free of charge as soon as reasonably practicable after they are electronically filed with, or furnished to, the SEC. The information contained on, or that can be accessed through, our website is not part of, and is not incorporated into, this prospectus, and you should not consider the contents of our website in making an investment decision with respect to our common stock. We have included our website in this prospectus solely as an inactive textual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4" w:name="tx40469_22"/>
      <w:bookmarkEnd w:id="24"/>
      <w:r>
        <w:rPr>
          <w:rFonts w:ascii="Times New Roman" w:hAnsi="Times New Roman"/>
          <w:b/>
          <w:sz w:val="20"/>
        </w:rPr>
        <w:t xml:space="preserve">ATTOVIA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INDEX TO CONSOLIDATED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70"/>
        <w:gridCol w:w="252"/>
        <w:gridCol w:w="75"/>
        <w:gridCol w:w="445"/>
        <w:gridCol w:w="63"/>
      </w:tblGrid>
      <w:tr>
        <w:trPr/>
        <w:tc>
          <w:tcPr>
            <w:tcW w:w="9370"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70" w:type="dxa"/>
            <w:tcBorders/>
            <w:vAlign w:val="bottom"/>
          </w:tcPr>
          <w:p>
            <w:pPr>
              <w:pStyle w:val="TableContents"/>
              <w:bidi w:val="0"/>
              <w:spacing w:before="0" w:after="283"/>
              <w:jc w:val="left"/>
              <w:rPr>
                <w:b/>
              </w:rPr>
            </w:pPr>
            <w:r>
              <w:rPr>
                <w:b/>
              </w:rPr>
              <w:t>Audited Consolidated Financial Statements as of and for the Years Ended December 31, 2024 and 2025</w:t>
            </w:r>
          </w:p>
        </w:tc>
        <w:tc>
          <w:tcPr>
            <w:tcW w:w="252"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370" w:type="dxa"/>
            <w:tcBorders/>
            <w:vAlign w:val="bottom"/>
          </w:tcPr>
          <w:p>
            <w:pPr>
              <w:pStyle w:val="TableContents"/>
              <w:bidi w:val="0"/>
              <w:spacing w:before="0" w:after="0"/>
              <w:jc w:val="left"/>
              <w:rPr/>
            </w:pPr>
            <w:hyperlink w:anchor="fin40469_1">
              <w:r>
                <w:rPr>
                  <w:rStyle w:val="InternetLink"/>
                  <w:rFonts w:ascii="Times New Roman" w:hAnsi="Times New Roman"/>
                  <w:sz w:val="20"/>
                </w:rPr>
                <w:t>Report of Independent Registered Public Accounting Firm (PCAOB ID: 238)</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F-2</w:t>
            </w:r>
          </w:p>
        </w:tc>
        <w:tc>
          <w:tcPr>
            <w:tcW w:w="63" w:type="dxa"/>
            <w:tcBorders/>
            <w:vAlign w:val="bottom"/>
          </w:tcPr>
          <w:p>
            <w:pPr>
              <w:pStyle w:val="TableContents"/>
              <w:bidi w:val="0"/>
              <w:spacing w:before="0" w:after="283"/>
              <w:jc w:val="left"/>
              <w:rPr/>
            </w:pPr>
            <w:r>
              <w:rPr/>
              <w:t> </w:t>
            </w:r>
          </w:p>
        </w:tc>
      </w:tr>
      <w:tr>
        <w:trPr/>
        <w:tc>
          <w:tcPr>
            <w:tcW w:w="9370" w:type="dxa"/>
            <w:tcBorders/>
            <w:vAlign w:val="bottom"/>
          </w:tcPr>
          <w:p>
            <w:pPr>
              <w:pStyle w:val="TableContents"/>
              <w:bidi w:val="0"/>
              <w:spacing w:before="0" w:after="0"/>
              <w:jc w:val="left"/>
              <w:rPr/>
            </w:pPr>
            <w:hyperlink w:anchor="fin40469_2">
              <w:r>
                <w:rPr>
                  <w:rStyle w:val="InternetLink"/>
                  <w:rFonts w:ascii="Times New Roman" w:hAnsi="Times New Roman"/>
                  <w:sz w:val="20"/>
                </w:rPr>
                <w:t>Consolidated Balance Sheets</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F-3</w:t>
            </w:r>
          </w:p>
        </w:tc>
        <w:tc>
          <w:tcPr>
            <w:tcW w:w="63" w:type="dxa"/>
            <w:tcBorders/>
            <w:vAlign w:val="bottom"/>
          </w:tcPr>
          <w:p>
            <w:pPr>
              <w:pStyle w:val="TableContents"/>
              <w:bidi w:val="0"/>
              <w:spacing w:before="0" w:after="283"/>
              <w:jc w:val="left"/>
              <w:rPr/>
            </w:pPr>
            <w:r>
              <w:rPr/>
              <w:t> </w:t>
            </w:r>
          </w:p>
        </w:tc>
      </w:tr>
      <w:tr>
        <w:trPr/>
        <w:tc>
          <w:tcPr>
            <w:tcW w:w="9370" w:type="dxa"/>
            <w:tcBorders/>
            <w:vAlign w:val="bottom"/>
          </w:tcPr>
          <w:p>
            <w:pPr>
              <w:pStyle w:val="TableContents"/>
              <w:bidi w:val="0"/>
              <w:spacing w:before="0" w:after="0"/>
              <w:jc w:val="left"/>
              <w:rPr/>
            </w:pPr>
            <w:hyperlink w:anchor="fin40469_3">
              <w:r>
                <w:rPr>
                  <w:rStyle w:val="InternetLink"/>
                  <w:rFonts w:ascii="Times New Roman" w:hAnsi="Times New Roman"/>
                  <w:sz w:val="20"/>
                </w:rPr>
                <w:t>Consolidated Statements of Operations and Comprehensive Loss</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F-4</w:t>
            </w:r>
          </w:p>
        </w:tc>
        <w:tc>
          <w:tcPr>
            <w:tcW w:w="63" w:type="dxa"/>
            <w:tcBorders/>
            <w:vAlign w:val="bottom"/>
          </w:tcPr>
          <w:p>
            <w:pPr>
              <w:pStyle w:val="TableContents"/>
              <w:bidi w:val="0"/>
              <w:spacing w:before="0" w:after="283"/>
              <w:jc w:val="left"/>
              <w:rPr/>
            </w:pPr>
            <w:r>
              <w:rPr/>
              <w:t> </w:t>
            </w:r>
          </w:p>
        </w:tc>
      </w:tr>
      <w:tr>
        <w:trPr/>
        <w:tc>
          <w:tcPr>
            <w:tcW w:w="9370" w:type="dxa"/>
            <w:tcBorders/>
            <w:vAlign w:val="bottom"/>
          </w:tcPr>
          <w:p>
            <w:pPr>
              <w:pStyle w:val="TableContents"/>
              <w:bidi w:val="0"/>
              <w:spacing w:before="0" w:after="0"/>
              <w:jc w:val="left"/>
              <w:rPr/>
            </w:pPr>
            <w:hyperlink w:anchor="fin40469_4">
              <w:r>
                <w:rPr>
                  <w:rStyle w:val="InternetLink"/>
                  <w:rFonts w:ascii="Times New Roman" w:hAnsi="Times New Roman"/>
                  <w:sz w:val="20"/>
                </w:rPr>
                <w:t>Consolidated Statements of Redeemable Convertible Preferred Stock and Stockholders’ Deficit</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F-5</w:t>
            </w:r>
          </w:p>
        </w:tc>
        <w:tc>
          <w:tcPr>
            <w:tcW w:w="63" w:type="dxa"/>
            <w:tcBorders/>
            <w:vAlign w:val="bottom"/>
          </w:tcPr>
          <w:p>
            <w:pPr>
              <w:pStyle w:val="TableContents"/>
              <w:bidi w:val="0"/>
              <w:spacing w:before="0" w:after="283"/>
              <w:jc w:val="left"/>
              <w:rPr/>
            </w:pPr>
            <w:r>
              <w:rPr/>
              <w:t> </w:t>
            </w:r>
          </w:p>
        </w:tc>
      </w:tr>
      <w:tr>
        <w:trPr/>
        <w:tc>
          <w:tcPr>
            <w:tcW w:w="9370" w:type="dxa"/>
            <w:tcBorders/>
            <w:vAlign w:val="bottom"/>
          </w:tcPr>
          <w:p>
            <w:pPr>
              <w:pStyle w:val="TableContents"/>
              <w:bidi w:val="0"/>
              <w:spacing w:before="0" w:after="0"/>
              <w:jc w:val="left"/>
              <w:rPr/>
            </w:pPr>
            <w:hyperlink w:anchor="fin40469_5">
              <w:r>
                <w:rPr>
                  <w:rStyle w:val="InternetLink"/>
                  <w:rFonts w:ascii="Times New Roman" w:hAnsi="Times New Roman"/>
                  <w:sz w:val="20"/>
                </w:rPr>
                <w:t>Consolidated Statements of Cash Flows</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F-6</w:t>
            </w:r>
          </w:p>
        </w:tc>
        <w:tc>
          <w:tcPr>
            <w:tcW w:w="63" w:type="dxa"/>
            <w:tcBorders/>
            <w:vAlign w:val="bottom"/>
          </w:tcPr>
          <w:p>
            <w:pPr>
              <w:pStyle w:val="TableContents"/>
              <w:bidi w:val="0"/>
              <w:spacing w:before="0" w:after="283"/>
              <w:jc w:val="left"/>
              <w:rPr/>
            </w:pPr>
            <w:r>
              <w:rPr/>
              <w:t> </w:t>
            </w:r>
          </w:p>
        </w:tc>
      </w:tr>
      <w:tr>
        <w:trPr/>
        <w:tc>
          <w:tcPr>
            <w:tcW w:w="9370" w:type="dxa"/>
            <w:tcBorders/>
            <w:vAlign w:val="bottom"/>
          </w:tcPr>
          <w:p>
            <w:pPr>
              <w:pStyle w:val="TableContents"/>
              <w:bidi w:val="0"/>
              <w:spacing w:before="0" w:after="0"/>
              <w:jc w:val="left"/>
              <w:rPr/>
            </w:pPr>
            <w:hyperlink w:anchor="fin40469_6">
              <w:r>
                <w:rPr>
                  <w:rStyle w:val="InternetLink"/>
                  <w:rFonts w:ascii="Times New Roman" w:hAnsi="Times New Roman"/>
                  <w:sz w:val="20"/>
                </w:rPr>
                <w:t>Notes to Consolidated Financial Statements</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F-8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8"/>
        <w:gridCol w:w="142"/>
        <w:gridCol w:w="60"/>
        <w:gridCol w:w="473"/>
        <w:gridCol w:w="62"/>
      </w:tblGrid>
      <w:tr>
        <w:trPr/>
        <w:tc>
          <w:tcPr>
            <w:tcW w:w="9468"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8" w:type="dxa"/>
            <w:tcBorders/>
            <w:vAlign w:val="bottom"/>
          </w:tcPr>
          <w:p>
            <w:pPr>
              <w:pStyle w:val="TableContents"/>
              <w:bidi w:val="0"/>
              <w:spacing w:before="0" w:after="283"/>
              <w:jc w:val="left"/>
              <w:rPr>
                <w:b/>
              </w:rPr>
            </w:pPr>
            <w:r>
              <w:rPr>
                <w:b/>
              </w:rPr>
              <w:t>Unaudited Condensed Consolidated Financial Statements as of and for the Three Months Ended March 31, 2025 and 2026</w:t>
            </w:r>
          </w:p>
        </w:tc>
        <w:tc>
          <w:tcPr>
            <w:tcW w:w="142" w:type="dxa"/>
            <w:tcBorders/>
            <w:vAlign w:val="bottom"/>
          </w:tcPr>
          <w:p>
            <w:pPr>
              <w:pStyle w:val="TableContents"/>
              <w:bidi w:val="0"/>
              <w:spacing w:before="0" w:after="283"/>
              <w:jc w:val="left"/>
              <w:rPr/>
            </w:pPr>
            <w:r>
              <w:rPr/>
              <w:t>  </w:t>
            </w:r>
          </w:p>
        </w:tc>
        <w:tc>
          <w:tcPr>
            <w:tcW w:w="5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8" w:type="dxa"/>
            <w:tcBorders/>
            <w:vAlign w:val="bottom"/>
          </w:tcPr>
          <w:p>
            <w:pPr>
              <w:pStyle w:val="TableContents"/>
              <w:bidi w:val="0"/>
              <w:spacing w:before="0" w:after="0"/>
              <w:jc w:val="left"/>
              <w:rPr/>
            </w:pPr>
            <w:hyperlink w:anchor="fin40469_7">
              <w:r>
                <w:rPr>
                  <w:rStyle w:val="InternetLink"/>
                  <w:rFonts w:ascii="Times New Roman" w:hAnsi="Times New Roman"/>
                  <w:sz w:val="20"/>
                </w:rPr>
                <w:t>Condensed Consolidated Balance Sheets</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right"/>
              <w:rPr/>
            </w:pPr>
            <w:r>
              <w:rPr/>
              <w:t>F-39</w:t>
            </w:r>
          </w:p>
        </w:tc>
        <w:tc>
          <w:tcPr>
            <w:tcW w:w="62" w:type="dxa"/>
            <w:tcBorders/>
            <w:vAlign w:val="bottom"/>
          </w:tcPr>
          <w:p>
            <w:pPr>
              <w:pStyle w:val="TableContents"/>
              <w:bidi w:val="0"/>
              <w:spacing w:before="0" w:after="283"/>
              <w:jc w:val="left"/>
              <w:rPr/>
            </w:pPr>
            <w:r>
              <w:rPr/>
              <w:t> </w:t>
            </w:r>
          </w:p>
        </w:tc>
      </w:tr>
      <w:tr>
        <w:trPr/>
        <w:tc>
          <w:tcPr>
            <w:tcW w:w="9468" w:type="dxa"/>
            <w:tcBorders/>
            <w:vAlign w:val="bottom"/>
          </w:tcPr>
          <w:p>
            <w:pPr>
              <w:pStyle w:val="TableContents"/>
              <w:bidi w:val="0"/>
              <w:spacing w:before="0" w:after="0"/>
              <w:jc w:val="left"/>
              <w:rPr/>
            </w:pPr>
            <w:hyperlink w:anchor="fin40469_8">
              <w:r>
                <w:rPr>
                  <w:rStyle w:val="InternetLink"/>
                  <w:rFonts w:ascii="Times New Roman" w:hAnsi="Times New Roman"/>
                  <w:sz w:val="20"/>
                </w:rPr>
                <w:t>Condensed Consolidated Statements of Operations and Comprehensive Loss</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right"/>
              <w:rPr/>
            </w:pPr>
            <w:r>
              <w:rPr/>
              <w:t>F-40</w:t>
            </w:r>
          </w:p>
        </w:tc>
        <w:tc>
          <w:tcPr>
            <w:tcW w:w="62" w:type="dxa"/>
            <w:tcBorders/>
            <w:vAlign w:val="bottom"/>
          </w:tcPr>
          <w:p>
            <w:pPr>
              <w:pStyle w:val="TableContents"/>
              <w:bidi w:val="0"/>
              <w:spacing w:before="0" w:after="283"/>
              <w:jc w:val="left"/>
              <w:rPr/>
            </w:pPr>
            <w:r>
              <w:rPr/>
              <w:t> </w:t>
            </w:r>
          </w:p>
        </w:tc>
      </w:tr>
      <w:tr>
        <w:trPr/>
        <w:tc>
          <w:tcPr>
            <w:tcW w:w="9468" w:type="dxa"/>
            <w:tcBorders/>
            <w:vAlign w:val="bottom"/>
          </w:tcPr>
          <w:p>
            <w:pPr>
              <w:pStyle w:val="TableContents"/>
              <w:bidi w:val="0"/>
              <w:spacing w:before="0" w:after="0"/>
              <w:jc w:val="left"/>
              <w:rPr/>
            </w:pPr>
            <w:hyperlink w:anchor="fin40469_9">
              <w:r>
                <w:rPr>
                  <w:rStyle w:val="InternetLink"/>
                  <w:rFonts w:ascii="Times New Roman" w:hAnsi="Times New Roman"/>
                  <w:sz w:val="20"/>
                </w:rPr>
                <w:t>Condensed Consolidated Statements of Redeemable Convertible Preferred Stock and Stockholders’ Deficit</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right"/>
              <w:rPr/>
            </w:pPr>
            <w:r>
              <w:rPr/>
              <w:t>F-41</w:t>
            </w:r>
          </w:p>
        </w:tc>
        <w:tc>
          <w:tcPr>
            <w:tcW w:w="62" w:type="dxa"/>
            <w:tcBorders/>
            <w:vAlign w:val="bottom"/>
          </w:tcPr>
          <w:p>
            <w:pPr>
              <w:pStyle w:val="TableContents"/>
              <w:bidi w:val="0"/>
              <w:spacing w:before="0" w:after="283"/>
              <w:jc w:val="left"/>
              <w:rPr/>
            </w:pPr>
            <w:r>
              <w:rPr/>
              <w:t> </w:t>
            </w:r>
          </w:p>
        </w:tc>
      </w:tr>
      <w:tr>
        <w:trPr/>
        <w:tc>
          <w:tcPr>
            <w:tcW w:w="9468" w:type="dxa"/>
            <w:tcBorders/>
            <w:vAlign w:val="bottom"/>
          </w:tcPr>
          <w:p>
            <w:pPr>
              <w:pStyle w:val="TableContents"/>
              <w:bidi w:val="0"/>
              <w:spacing w:before="0" w:after="0"/>
              <w:jc w:val="left"/>
              <w:rPr/>
            </w:pPr>
            <w:hyperlink w:anchor="fin40469_10">
              <w:r>
                <w:rPr>
                  <w:rStyle w:val="InternetLink"/>
                  <w:rFonts w:ascii="Times New Roman" w:hAnsi="Times New Roman"/>
                  <w:sz w:val="20"/>
                </w:rPr>
                <w:t>Condensed Consolidated Statements of Cash Flows</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right"/>
              <w:rPr/>
            </w:pPr>
            <w:r>
              <w:rPr/>
              <w:t>F-42</w:t>
            </w:r>
          </w:p>
        </w:tc>
        <w:tc>
          <w:tcPr>
            <w:tcW w:w="62" w:type="dxa"/>
            <w:tcBorders/>
            <w:vAlign w:val="bottom"/>
          </w:tcPr>
          <w:p>
            <w:pPr>
              <w:pStyle w:val="TableContents"/>
              <w:bidi w:val="0"/>
              <w:spacing w:before="0" w:after="283"/>
              <w:jc w:val="left"/>
              <w:rPr/>
            </w:pPr>
            <w:r>
              <w:rPr/>
              <w:t> </w:t>
            </w:r>
          </w:p>
        </w:tc>
      </w:tr>
      <w:tr>
        <w:trPr/>
        <w:tc>
          <w:tcPr>
            <w:tcW w:w="9468" w:type="dxa"/>
            <w:tcBorders/>
            <w:vAlign w:val="bottom"/>
          </w:tcPr>
          <w:p>
            <w:pPr>
              <w:pStyle w:val="TableContents"/>
              <w:bidi w:val="0"/>
              <w:spacing w:before="0" w:after="0"/>
              <w:jc w:val="left"/>
              <w:rPr/>
            </w:pPr>
            <w:hyperlink w:anchor="fin40469_11">
              <w:r>
                <w:rPr>
                  <w:rStyle w:val="InternetLink"/>
                  <w:rFonts w:ascii="Times New Roman" w:hAnsi="Times New Roman"/>
                  <w:sz w:val="20"/>
                </w:rPr>
                <w:t>Notes to Condensed Consolidated Financial Statements</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right"/>
              <w:rPr/>
            </w:pPr>
            <w:r>
              <w:rPr/>
              <w:t>F-43</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5" w:name="fin40469_1"/>
      <w:bookmarkEnd w:id="25"/>
      <w:r>
        <w:rPr>
          <w:rFonts w:ascii="Times New Roman" w:hAnsi="Times New Roman"/>
          <w:b/>
          <w:sz w:val="20"/>
        </w:rPr>
        <w:t xml:space="preserve">Report of Independent Registered Public Accounting Firm </w:t>
      </w:r>
    </w:p>
    <w:p>
      <w:pPr>
        <w:pStyle w:val="TextBody"/>
        <w:bidi w:val="0"/>
        <w:spacing w:before="240" w:after="0"/>
        <w:jc w:val="both"/>
        <w:rPr>
          <w:rFonts w:ascii="Times New Roman" w:hAnsi="Times New Roman"/>
          <w:sz w:val="20"/>
        </w:rPr>
      </w:pPr>
      <w:r>
        <w:rPr>
          <w:rFonts w:ascii="Times New Roman" w:hAnsi="Times New Roman"/>
          <w:sz w:val="20"/>
        </w:rPr>
        <w:t xml:space="preserve">To the Board of Directors and Stockholders of Attovia Therapeutics, Inc. </w:t>
      </w:r>
    </w:p>
    <w:p>
      <w:pPr>
        <w:pStyle w:val="TextBody"/>
        <w:bidi w:val="0"/>
        <w:spacing w:before="360" w:after="0"/>
        <w:jc w:val="both"/>
        <w:rPr>
          <w:rFonts w:ascii="Times New Roman" w:hAnsi="Times New Roman"/>
          <w:sz w:val="20"/>
        </w:rPr>
      </w:pPr>
      <w:r>
        <w:rPr>
          <w:rFonts w:ascii="Times New Roman" w:hAnsi="Times New Roman"/>
          <w:b/>
          <w:i/>
          <w:sz w:val="20"/>
        </w:rPr>
        <w:t>Opinion on the Financial Statements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We have audited the accompanying 2025 consolidated financial statements of Attovia Therapeutics, Inc. and its subsidiaries and the 2024 financial statements of Attovia Therapeutics, Inc. (collectively referred to as the “Company”), which comprise the balance sheets as of December 31, 2025 and 2024, and the related statements of operations and comprehensive loss, of redeemable convertible preferred stock and stockholders’ deficit and of cash flows for the years then ended, including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 </w:t>
      </w:r>
    </w:p>
    <w:p>
      <w:pPr>
        <w:pStyle w:val="TextBody"/>
        <w:bidi w:val="0"/>
        <w:spacing w:before="240" w:after="0"/>
        <w:jc w:val="left"/>
        <w:rPr>
          <w:rFonts w:ascii="Times New Roman" w:hAnsi="Times New Roman"/>
          <w:sz w:val="20"/>
        </w:rPr>
      </w:pPr>
      <w:r>
        <w:rPr>
          <w:rFonts w:ascii="Times New Roman" w:hAnsi="Times New Roman"/>
          <w:b/>
          <w:i/>
          <w:sz w:val="20"/>
        </w:rPr>
        <w:t>Basis for Opinion</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both"/>
        <w:rPr>
          <w:rFonts w:ascii="Times New Roman" w:hAnsi="Times New Roman"/>
          <w:sz w:val="20"/>
        </w:rPr>
      </w:pPr>
      <w:r>
        <w:rPr>
          <w:rFonts w:ascii="Times New Roman" w:hAnsi="Times New Roman"/>
          <w:sz w:val="20"/>
        </w:rPr>
        <w:t xml:space="preserve">We conducted our audits of these financial statements in accordance with the standards of the PCAOB. Those standards require that we plan and perform the audits to obtain reasonable assurance about whether the financial statements are free of material misstatement, whether due to error or fraud. </w:t>
      </w:r>
    </w:p>
    <w:p>
      <w:pPr>
        <w:pStyle w:val="TextBody"/>
        <w:bidi w:val="0"/>
        <w:spacing w:before="240" w:after="0"/>
        <w:jc w:val="both"/>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240" w:after="0"/>
        <w:jc w:val="both"/>
        <w:rPr>
          <w:rFonts w:ascii="Times New Roman" w:hAnsi="Times New Roman"/>
          <w:sz w:val="20"/>
        </w:rPr>
      </w:pPr>
      <w:r>
        <w:rPr>
          <w:rFonts w:ascii="Times New Roman" w:hAnsi="Times New Roman"/>
          <w:sz w:val="20"/>
        </w:rPr>
        <w:t xml:space="preserve">/s/ PricewaterhouseCoopers LLP </w:t>
      </w:r>
    </w:p>
    <w:p>
      <w:pPr>
        <w:pStyle w:val="TextBody"/>
        <w:bidi w:val="0"/>
        <w:spacing w:before="0" w:after="0"/>
        <w:jc w:val="both"/>
        <w:rPr>
          <w:rFonts w:ascii="Times New Roman" w:hAnsi="Times New Roman"/>
          <w:sz w:val="20"/>
        </w:rPr>
      </w:pPr>
      <w:r>
        <w:rPr>
          <w:rFonts w:ascii="Times New Roman" w:hAnsi="Times New Roman"/>
          <w:sz w:val="20"/>
        </w:rPr>
        <w:t xml:space="preserve">San Jose, California </w:t>
      </w:r>
    </w:p>
    <w:p>
      <w:pPr>
        <w:pStyle w:val="TextBody"/>
        <w:bidi w:val="0"/>
        <w:spacing w:before="0" w:after="0"/>
        <w:jc w:val="both"/>
        <w:rPr>
          <w:rFonts w:ascii="Times New Roman" w:hAnsi="Times New Roman"/>
          <w:sz w:val="20"/>
        </w:rPr>
      </w:pPr>
      <w:r>
        <w:rPr>
          <w:rFonts w:ascii="Times New Roman" w:hAnsi="Times New Roman"/>
          <w:sz w:val="20"/>
        </w:rPr>
        <w:t xml:space="preserve">June 5, 2026, except for the effects of the reverse stock split discussed in Note 16 to the financial statements, as to which the date is July 29, 2026 </w:t>
      </w:r>
    </w:p>
    <w:p>
      <w:pPr>
        <w:pStyle w:val="TextBody"/>
        <w:bidi w:val="0"/>
        <w:spacing w:before="240" w:after="0"/>
        <w:jc w:val="both"/>
        <w:rPr>
          <w:rFonts w:ascii="Times New Roman" w:hAnsi="Times New Roman"/>
          <w:sz w:val="20"/>
        </w:rPr>
      </w:pPr>
      <w:r>
        <w:rPr>
          <w:rFonts w:ascii="Times New Roman" w:hAnsi="Times New Roman"/>
          <w:sz w:val="20"/>
        </w:rPr>
        <w:t xml:space="preserve">We have served as the Company’s auditor since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6" w:name="fin40469_2"/>
      <w:bookmarkEnd w:id="26"/>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97"/>
        <w:gridCol w:w="311"/>
        <w:gridCol w:w="140"/>
        <w:gridCol w:w="802"/>
        <w:gridCol w:w="155"/>
        <w:gridCol w:w="275"/>
        <w:gridCol w:w="140"/>
        <w:gridCol w:w="927"/>
        <w:gridCol w:w="158"/>
      </w:tblGrid>
      <w:tr>
        <w:trPr/>
        <w:tc>
          <w:tcPr>
            <w:tcW w:w="7297"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97"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43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8" w:type="dxa"/>
            <w:tcBorders/>
            <w:vAlign w:val="bottom"/>
          </w:tcPr>
          <w:p>
            <w:pPr>
              <w:pStyle w:val="TableContents"/>
              <w:bidi w:val="0"/>
              <w:spacing w:before="0" w:after="283"/>
              <w:jc w:val="left"/>
              <w:rPr/>
            </w:pPr>
            <w:r>
              <w:rPr/>
              <w:t> </w:t>
            </w:r>
          </w:p>
        </w:tc>
      </w:tr>
      <w:tr>
        <w:trPr/>
        <w:tc>
          <w:tcPr>
            <w:tcW w:w="7297"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0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729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 xml:space="preserve">Assets </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297"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2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30,632</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7" w:type="dxa"/>
            <w:tcBorders/>
            <w:shd w:fill="CCEEFF" w:val="clear"/>
            <w:vAlign w:val="bottom"/>
          </w:tcPr>
          <w:p>
            <w:pPr>
              <w:pStyle w:val="TableContents"/>
              <w:bidi w:val="0"/>
              <w:spacing w:before="0" w:after="283"/>
              <w:jc w:val="right"/>
              <w:rPr/>
            </w:pPr>
            <w:r>
              <w:rPr/>
              <w:t>40,193</w:t>
            </w:r>
          </w:p>
        </w:tc>
        <w:tc>
          <w:tcPr>
            <w:tcW w:w="158" w:type="dxa"/>
            <w:tcBorders/>
            <w:shd w:fill="CCEEFF" w:val="clear"/>
            <w:vAlign w:val="bottom"/>
          </w:tcPr>
          <w:p>
            <w:pPr>
              <w:pStyle w:val="TableContents"/>
              <w:bidi w:val="0"/>
              <w:spacing w:before="0" w:after="283"/>
              <w:jc w:val="left"/>
              <w:rPr/>
            </w:pPr>
            <w:r>
              <w:rPr/>
              <w:t> </w:t>
            </w:r>
          </w:p>
        </w:tc>
      </w:tr>
      <w:tr>
        <w:trPr/>
        <w:tc>
          <w:tcPr>
            <w:tcW w:w="7297"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38,691</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112,075</w:t>
            </w:r>
          </w:p>
        </w:tc>
        <w:tc>
          <w:tcPr>
            <w:tcW w:w="158" w:type="dxa"/>
            <w:tcBorders/>
            <w:vAlign w:val="bottom"/>
          </w:tcPr>
          <w:p>
            <w:pPr>
              <w:pStyle w:val="TableContents"/>
              <w:bidi w:val="0"/>
              <w:spacing w:before="0" w:after="283"/>
              <w:jc w:val="left"/>
              <w:rPr/>
            </w:pPr>
            <w:r>
              <w:rPr/>
              <w:t> </w:t>
            </w:r>
          </w:p>
        </w:tc>
      </w:tr>
      <w:tr>
        <w:trPr/>
        <w:tc>
          <w:tcPr>
            <w:tcW w:w="7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 (including related party amounts of $25 and $0 at December 31, 2024 and 2025, respectively)</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3,159</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4,027</w:t>
            </w:r>
          </w:p>
        </w:tc>
        <w:tc>
          <w:tcPr>
            <w:tcW w:w="158" w:type="dxa"/>
            <w:tcBorders/>
            <w:shd w:fill="CCEEFF" w:val="clear"/>
            <w:vAlign w:val="bottom"/>
          </w:tcPr>
          <w:p>
            <w:pPr>
              <w:pStyle w:val="TableContents"/>
              <w:bidi w:val="0"/>
              <w:spacing w:before="0" w:after="283"/>
              <w:jc w:val="left"/>
              <w:rPr/>
            </w:pPr>
            <w:r>
              <w:rPr/>
              <w:t> </w:t>
            </w:r>
          </w:p>
        </w:tc>
      </w:tr>
      <w:tr>
        <w:trPr/>
        <w:tc>
          <w:tcPr>
            <w:tcW w:w="7297"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97"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72,482</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156,295</w:t>
            </w:r>
          </w:p>
        </w:tc>
        <w:tc>
          <w:tcPr>
            <w:tcW w:w="158" w:type="dxa"/>
            <w:tcBorders/>
            <w:vAlign w:val="bottom"/>
          </w:tcPr>
          <w:p>
            <w:pPr>
              <w:pStyle w:val="TableContents"/>
              <w:bidi w:val="0"/>
              <w:spacing w:before="0" w:after="283"/>
              <w:jc w:val="left"/>
              <w:rPr/>
            </w:pPr>
            <w:r>
              <w:rPr/>
              <w:t> </w:t>
            </w:r>
          </w:p>
        </w:tc>
      </w:tr>
      <w:tr>
        <w:trPr/>
        <w:tc>
          <w:tcPr>
            <w:tcW w:w="7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607</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404</w:t>
            </w:r>
          </w:p>
        </w:tc>
        <w:tc>
          <w:tcPr>
            <w:tcW w:w="158" w:type="dxa"/>
            <w:tcBorders/>
            <w:shd w:fill="CCEEFF" w:val="clear"/>
            <w:vAlign w:val="bottom"/>
          </w:tcPr>
          <w:p>
            <w:pPr>
              <w:pStyle w:val="TableContents"/>
              <w:bidi w:val="0"/>
              <w:spacing w:before="0" w:after="283"/>
              <w:jc w:val="left"/>
              <w:rPr/>
            </w:pPr>
            <w:r>
              <w:rPr/>
              <w:t> </w:t>
            </w:r>
          </w:p>
        </w:tc>
      </w:tr>
      <w:tr>
        <w:trPr/>
        <w:tc>
          <w:tcPr>
            <w:tcW w:w="7297"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3,234</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3,492</w:t>
            </w:r>
          </w:p>
        </w:tc>
        <w:tc>
          <w:tcPr>
            <w:tcW w:w="158" w:type="dxa"/>
            <w:tcBorders/>
            <w:vAlign w:val="bottom"/>
          </w:tcPr>
          <w:p>
            <w:pPr>
              <w:pStyle w:val="TableContents"/>
              <w:bidi w:val="0"/>
              <w:spacing w:before="0" w:after="283"/>
              <w:jc w:val="left"/>
              <w:rPr/>
            </w:pPr>
            <w:r>
              <w:rPr/>
              <w:t> </w:t>
            </w:r>
          </w:p>
        </w:tc>
      </w:tr>
      <w:tr>
        <w:trPr/>
        <w:tc>
          <w:tcPr>
            <w:tcW w:w="7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 net</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4,373</w:t>
            </w:r>
          </w:p>
        </w:tc>
        <w:tc>
          <w:tcPr>
            <w:tcW w:w="158" w:type="dxa"/>
            <w:tcBorders/>
            <w:shd w:fill="CCEEFF" w:val="clear"/>
            <w:vAlign w:val="bottom"/>
          </w:tcPr>
          <w:p>
            <w:pPr>
              <w:pStyle w:val="TableContents"/>
              <w:bidi w:val="0"/>
              <w:spacing w:before="0" w:after="283"/>
              <w:jc w:val="left"/>
              <w:rPr/>
            </w:pPr>
            <w:r>
              <w:rPr/>
              <w:t> </w:t>
            </w:r>
          </w:p>
        </w:tc>
      </w:tr>
      <w:tr>
        <w:trPr/>
        <w:tc>
          <w:tcPr>
            <w:tcW w:w="7297"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393</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1,329</w:t>
            </w:r>
          </w:p>
        </w:tc>
        <w:tc>
          <w:tcPr>
            <w:tcW w:w="158" w:type="dxa"/>
            <w:tcBorders/>
            <w:vAlign w:val="bottom"/>
          </w:tcPr>
          <w:p>
            <w:pPr>
              <w:pStyle w:val="TableContents"/>
              <w:bidi w:val="0"/>
              <w:spacing w:before="0" w:after="283"/>
              <w:jc w:val="left"/>
              <w:rPr/>
            </w:pPr>
            <w:r>
              <w:rPr/>
              <w:t> </w:t>
            </w:r>
          </w:p>
        </w:tc>
      </w:tr>
      <w:tr>
        <w:trPr/>
        <w:tc>
          <w:tcPr>
            <w:tcW w:w="7297"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76,716</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7" w:type="dxa"/>
            <w:tcBorders/>
            <w:shd w:fill="CCEEFF" w:val="clear"/>
            <w:vAlign w:val="bottom"/>
          </w:tcPr>
          <w:p>
            <w:pPr>
              <w:pStyle w:val="TableContents"/>
              <w:bidi w:val="0"/>
              <w:spacing w:before="0" w:after="283"/>
              <w:jc w:val="right"/>
              <w:rPr/>
            </w:pPr>
            <w:r>
              <w:rPr/>
              <w:t>165,893</w:t>
            </w:r>
          </w:p>
        </w:tc>
        <w:tc>
          <w:tcPr>
            <w:tcW w:w="158" w:type="dxa"/>
            <w:tcBorders/>
            <w:shd w:fill="CCEEFF" w:val="clear"/>
            <w:vAlign w:val="bottom"/>
          </w:tcPr>
          <w:p>
            <w:pPr>
              <w:pStyle w:val="TableContents"/>
              <w:bidi w:val="0"/>
              <w:spacing w:before="0" w:after="283"/>
              <w:jc w:val="left"/>
              <w:rPr/>
            </w:pPr>
            <w:r>
              <w:rPr/>
              <w:t> </w:t>
            </w:r>
          </w:p>
        </w:tc>
      </w:tr>
      <w:tr>
        <w:trPr/>
        <w:tc>
          <w:tcPr>
            <w:tcW w:w="7297"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97"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redeemable convertible preferred stock, and stockholders’ deficit</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2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297"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(including related party amounts of $250 and $39 at December 31, 2024 and 2025, respectively)</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4,140</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7" w:type="dxa"/>
            <w:tcBorders/>
            <w:vAlign w:val="bottom"/>
          </w:tcPr>
          <w:p>
            <w:pPr>
              <w:pStyle w:val="TableContents"/>
              <w:bidi w:val="0"/>
              <w:spacing w:before="0" w:after="283"/>
              <w:jc w:val="right"/>
              <w:rPr/>
            </w:pPr>
            <w:r>
              <w:rPr/>
              <w:t>3,551</w:t>
            </w:r>
          </w:p>
        </w:tc>
        <w:tc>
          <w:tcPr>
            <w:tcW w:w="158" w:type="dxa"/>
            <w:tcBorders/>
            <w:vAlign w:val="bottom"/>
          </w:tcPr>
          <w:p>
            <w:pPr>
              <w:pStyle w:val="TableContents"/>
              <w:bidi w:val="0"/>
              <w:spacing w:before="0" w:after="283"/>
              <w:jc w:val="left"/>
              <w:rPr/>
            </w:pPr>
            <w:r>
              <w:rPr/>
              <w:t> </w:t>
            </w:r>
          </w:p>
        </w:tc>
      </w:tr>
      <w:tr>
        <w:trPr/>
        <w:tc>
          <w:tcPr>
            <w:tcW w:w="7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3,582</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5,535</w:t>
            </w:r>
          </w:p>
        </w:tc>
        <w:tc>
          <w:tcPr>
            <w:tcW w:w="158" w:type="dxa"/>
            <w:tcBorders/>
            <w:shd w:fill="CCEEFF" w:val="clear"/>
            <w:vAlign w:val="bottom"/>
          </w:tcPr>
          <w:p>
            <w:pPr>
              <w:pStyle w:val="TableContents"/>
              <w:bidi w:val="0"/>
              <w:spacing w:before="0" w:after="283"/>
              <w:jc w:val="left"/>
              <w:rPr/>
            </w:pPr>
            <w:r>
              <w:rPr/>
              <w:t> </w:t>
            </w:r>
          </w:p>
        </w:tc>
      </w:tr>
      <w:tr>
        <w:trPr/>
        <w:tc>
          <w:tcPr>
            <w:tcW w:w="7297"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liability, current portion</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1,921</w:t>
            </w:r>
          </w:p>
        </w:tc>
        <w:tc>
          <w:tcPr>
            <w:tcW w:w="158" w:type="dxa"/>
            <w:tcBorders/>
            <w:vAlign w:val="bottom"/>
          </w:tcPr>
          <w:p>
            <w:pPr>
              <w:pStyle w:val="TableContents"/>
              <w:bidi w:val="0"/>
              <w:spacing w:before="0" w:after="283"/>
              <w:jc w:val="left"/>
              <w:rPr/>
            </w:pPr>
            <w:r>
              <w:rPr/>
              <w:t> </w:t>
            </w:r>
          </w:p>
        </w:tc>
      </w:tr>
      <w:tr>
        <w:trPr/>
        <w:tc>
          <w:tcPr>
            <w:tcW w:w="7297"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7,722</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11,007</w:t>
            </w:r>
          </w:p>
        </w:tc>
        <w:tc>
          <w:tcPr>
            <w:tcW w:w="158" w:type="dxa"/>
            <w:tcBorders/>
            <w:shd w:fill="CCEEFF" w:val="clear"/>
            <w:vAlign w:val="bottom"/>
          </w:tcPr>
          <w:p>
            <w:pPr>
              <w:pStyle w:val="TableContents"/>
              <w:bidi w:val="0"/>
              <w:spacing w:before="0" w:after="283"/>
              <w:jc w:val="left"/>
              <w:rPr/>
            </w:pPr>
            <w:r>
              <w:rPr/>
              <w:t> </w:t>
            </w:r>
          </w:p>
        </w:tc>
      </w:tr>
      <w:tr>
        <w:trPr/>
        <w:tc>
          <w:tcPr>
            <w:tcW w:w="7297" w:type="dxa"/>
            <w:tcBorders/>
          </w:tcPr>
          <w:p>
            <w:pPr>
              <w:pStyle w:val="TableContents"/>
              <w:bidi w:val="0"/>
              <w:spacing w:before="0" w:after="0"/>
              <w:jc w:val="left"/>
              <w:rPr>
                <w:rFonts w:ascii="Times New Roman" w:hAnsi="Times New Roman"/>
                <w:sz w:val="20"/>
              </w:rPr>
            </w:pPr>
            <w:r>
              <w:rPr>
                <w:rFonts w:ascii="Times New Roman" w:hAnsi="Times New Roman"/>
                <w:sz w:val="20"/>
              </w:rPr>
              <w:t>Preferred stock tranche liability</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6,638</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w:t>
            </w:r>
          </w:p>
        </w:tc>
        <w:tc>
          <w:tcPr>
            <w:tcW w:w="158" w:type="dxa"/>
            <w:tcBorders/>
            <w:vAlign w:val="bottom"/>
          </w:tcPr>
          <w:p>
            <w:pPr>
              <w:pStyle w:val="TableContents"/>
              <w:bidi w:val="0"/>
              <w:spacing w:before="0" w:after="283"/>
              <w:jc w:val="left"/>
              <w:rPr/>
            </w:pPr>
            <w:r>
              <w:rPr/>
              <w:t> </w:t>
            </w:r>
          </w:p>
        </w:tc>
      </w:tr>
      <w:tr>
        <w:trPr/>
        <w:tc>
          <w:tcPr>
            <w:tcW w:w="7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liability, net of current portion</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3,341</w:t>
            </w:r>
          </w:p>
        </w:tc>
        <w:tc>
          <w:tcPr>
            <w:tcW w:w="158" w:type="dxa"/>
            <w:tcBorders/>
            <w:shd w:fill="CCEEFF" w:val="clear"/>
            <w:vAlign w:val="bottom"/>
          </w:tcPr>
          <w:p>
            <w:pPr>
              <w:pStyle w:val="TableContents"/>
              <w:bidi w:val="0"/>
              <w:spacing w:before="0" w:after="283"/>
              <w:jc w:val="left"/>
              <w:rPr/>
            </w:pPr>
            <w:r>
              <w:rPr/>
              <w:t> </w:t>
            </w:r>
          </w:p>
        </w:tc>
      </w:tr>
      <w:tr>
        <w:trPr/>
        <w:tc>
          <w:tcPr>
            <w:tcW w:w="7297"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228</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755</w:t>
            </w:r>
          </w:p>
        </w:tc>
        <w:tc>
          <w:tcPr>
            <w:tcW w:w="158" w:type="dxa"/>
            <w:tcBorders/>
            <w:vAlign w:val="bottom"/>
          </w:tcPr>
          <w:p>
            <w:pPr>
              <w:pStyle w:val="TableContents"/>
              <w:bidi w:val="0"/>
              <w:spacing w:before="0" w:after="283"/>
              <w:jc w:val="left"/>
              <w:rPr/>
            </w:pPr>
            <w:r>
              <w:rPr/>
              <w:t> </w:t>
            </w:r>
          </w:p>
        </w:tc>
      </w:tr>
      <w:tr>
        <w:trPr/>
        <w:tc>
          <w:tcPr>
            <w:tcW w:w="7297"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14,588</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15,103</w:t>
            </w:r>
          </w:p>
        </w:tc>
        <w:tc>
          <w:tcPr>
            <w:tcW w:w="158" w:type="dxa"/>
            <w:tcBorders/>
            <w:shd w:fill="CCEEFF" w:val="clear"/>
            <w:vAlign w:val="bottom"/>
          </w:tcPr>
          <w:p>
            <w:pPr>
              <w:pStyle w:val="TableContents"/>
              <w:bidi w:val="0"/>
              <w:spacing w:before="0" w:after="283"/>
              <w:jc w:val="left"/>
              <w:rPr/>
            </w:pPr>
            <w:r>
              <w:rPr/>
              <w:t> </w:t>
            </w:r>
          </w:p>
        </w:tc>
      </w:tr>
      <w:tr>
        <w:trPr/>
        <w:tc>
          <w:tcPr>
            <w:tcW w:w="7297"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97"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6)</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2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 - $0.0001 par value; 134,447,726 and 199,902,270 shares authorized at December 31, 2024 and 2025; 96,265,908 and 199,902,270 shares issued and outstanding at December 31, 2024 and 2025; aggregate liquidation preference of $113,350 and $255,850 at December 31, 2024 and 2025, respectively</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108,953</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258,226</w:t>
            </w:r>
          </w:p>
        </w:tc>
        <w:tc>
          <w:tcPr>
            <w:tcW w:w="158" w:type="dxa"/>
            <w:tcBorders/>
            <w:shd w:fill="CCEEFF" w:val="clear"/>
            <w:vAlign w:val="bottom"/>
          </w:tcPr>
          <w:p>
            <w:pPr>
              <w:pStyle w:val="TableContents"/>
              <w:bidi w:val="0"/>
              <w:spacing w:before="0" w:after="283"/>
              <w:jc w:val="left"/>
              <w:rPr/>
            </w:pPr>
            <w:r>
              <w:rPr/>
              <w:t> </w:t>
            </w:r>
          </w:p>
        </w:tc>
      </w:tr>
      <w:tr>
        <w:trPr>
          <w:trHeight w:val="240" w:hRule="atLeast"/>
        </w:trPr>
        <w:tc>
          <w:tcPr>
            <w:tcW w:w="7297" w:type="dxa"/>
            <w:tcBorders/>
            <w:vAlign w:val="center"/>
          </w:tcPr>
          <w:p>
            <w:pPr>
              <w:pStyle w:val="TableContents"/>
              <w:bidi w:val="0"/>
              <w:spacing w:before="0" w:after="283"/>
              <w:jc w:val="left"/>
              <w:rPr>
                <w:sz w:val="4"/>
                <w:szCs w:val="4"/>
              </w:rPr>
            </w:pPr>
            <w:r>
              <w:rPr>
                <w:sz w:val="4"/>
                <w:szCs w:val="4"/>
              </w:rPr>
            </w:r>
          </w:p>
        </w:tc>
        <w:tc>
          <w:tcPr>
            <w:tcW w:w="1408" w:type="dxa"/>
            <w:gridSpan w:val="4"/>
            <w:tcBorders/>
            <w:vAlign w:val="center"/>
          </w:tcPr>
          <w:p>
            <w:pPr>
              <w:pStyle w:val="TableContents"/>
              <w:bidi w:val="0"/>
              <w:spacing w:before="0" w:after="283"/>
              <w:jc w:val="left"/>
              <w:rPr>
                <w:sz w:val="4"/>
                <w:szCs w:val="4"/>
              </w:rPr>
            </w:pPr>
            <w:r>
              <w:rPr>
                <w:sz w:val="4"/>
                <w:szCs w:val="4"/>
              </w:rPr>
            </w:r>
          </w:p>
        </w:tc>
        <w:tc>
          <w:tcPr>
            <w:tcW w:w="1500" w:type="dxa"/>
            <w:gridSpan w:val="4"/>
            <w:tcBorders/>
            <w:vAlign w:val="center"/>
          </w:tcPr>
          <w:p>
            <w:pPr>
              <w:pStyle w:val="TableContents"/>
              <w:bidi w:val="0"/>
              <w:spacing w:before="0" w:after="283"/>
              <w:jc w:val="left"/>
              <w:rPr>
                <w:sz w:val="4"/>
                <w:szCs w:val="4"/>
              </w:rPr>
            </w:pPr>
            <w:r>
              <w:rPr>
                <w:sz w:val="4"/>
                <w:szCs w:val="4"/>
              </w:rPr>
            </w:r>
          </w:p>
        </w:tc>
      </w:tr>
      <w:tr>
        <w:trPr/>
        <w:tc>
          <w:tcPr>
            <w:tcW w:w="7297"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deficit:</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2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 $0.0001 par value; 206,195,000 and 284,023,000 shares authorized at December 31, 2024 and 2025; 4,425,956 and 4,507,108 shares issued and outstanding at December 31, 2024 and 2025, respectively</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1</w:t>
            </w:r>
          </w:p>
        </w:tc>
        <w:tc>
          <w:tcPr>
            <w:tcW w:w="158" w:type="dxa"/>
            <w:tcBorders/>
            <w:shd w:fill="CCEEFF" w:val="clear"/>
            <w:vAlign w:val="bottom"/>
          </w:tcPr>
          <w:p>
            <w:pPr>
              <w:pStyle w:val="TableContents"/>
              <w:bidi w:val="0"/>
              <w:spacing w:before="0" w:after="283"/>
              <w:jc w:val="left"/>
              <w:rPr/>
            </w:pPr>
            <w:r>
              <w:rPr/>
              <w:t> </w:t>
            </w:r>
          </w:p>
        </w:tc>
      </w:tr>
      <w:tr>
        <w:trPr/>
        <w:tc>
          <w:tcPr>
            <w:tcW w:w="7297"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3,490</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3,474</w:t>
            </w:r>
          </w:p>
        </w:tc>
        <w:tc>
          <w:tcPr>
            <w:tcW w:w="158" w:type="dxa"/>
            <w:tcBorders/>
            <w:vAlign w:val="bottom"/>
          </w:tcPr>
          <w:p>
            <w:pPr>
              <w:pStyle w:val="TableContents"/>
              <w:bidi w:val="0"/>
              <w:spacing w:before="0" w:after="283"/>
              <w:jc w:val="left"/>
              <w:rPr/>
            </w:pPr>
            <w:r>
              <w:rPr/>
              <w:t> </w:t>
            </w:r>
          </w:p>
        </w:tc>
      </w:tr>
      <w:tr>
        <w:trPr/>
        <w:tc>
          <w:tcPr>
            <w:tcW w:w="7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67</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99</w:t>
            </w:r>
          </w:p>
        </w:tc>
        <w:tc>
          <w:tcPr>
            <w:tcW w:w="158" w:type="dxa"/>
            <w:tcBorders/>
            <w:shd w:fill="CCEEFF" w:val="clear"/>
            <w:vAlign w:val="bottom"/>
          </w:tcPr>
          <w:p>
            <w:pPr>
              <w:pStyle w:val="TableContents"/>
              <w:bidi w:val="0"/>
              <w:spacing w:before="0" w:after="283"/>
              <w:jc w:val="left"/>
              <w:rPr/>
            </w:pPr>
            <w:r>
              <w:rPr/>
              <w:t> </w:t>
            </w:r>
          </w:p>
        </w:tc>
      </w:tr>
      <w:tr>
        <w:trPr/>
        <w:tc>
          <w:tcPr>
            <w:tcW w:w="7297"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(50,383</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(111,010</w:t>
            </w:r>
          </w:p>
        </w:tc>
        <w:tc>
          <w:tcPr>
            <w:tcW w:w="158" w:type="dxa"/>
            <w:tcBorders/>
            <w:vAlign w:val="bottom"/>
          </w:tcPr>
          <w:p>
            <w:pPr>
              <w:pStyle w:val="TableContents"/>
              <w:bidi w:val="0"/>
              <w:spacing w:before="0" w:after="283"/>
              <w:jc w:val="left"/>
              <w:rPr/>
            </w:pPr>
            <w:r>
              <w:rPr/>
              <w:t>) </w:t>
            </w:r>
          </w:p>
        </w:tc>
      </w:tr>
      <w:tr>
        <w:trPr/>
        <w:tc>
          <w:tcPr>
            <w:tcW w:w="7297"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(46,825</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(107,436</w:t>
            </w:r>
          </w:p>
        </w:tc>
        <w:tc>
          <w:tcPr>
            <w:tcW w:w="158" w:type="dxa"/>
            <w:tcBorders/>
            <w:shd w:fill="CCEEFF" w:val="clear"/>
            <w:vAlign w:val="bottom"/>
          </w:tcPr>
          <w:p>
            <w:pPr>
              <w:pStyle w:val="TableContents"/>
              <w:bidi w:val="0"/>
              <w:spacing w:before="0" w:after="283"/>
              <w:jc w:val="left"/>
              <w:rPr/>
            </w:pPr>
            <w:r>
              <w:rPr/>
              <w:t>) </w:t>
            </w:r>
          </w:p>
        </w:tc>
      </w:tr>
      <w:tr>
        <w:trPr/>
        <w:tc>
          <w:tcPr>
            <w:tcW w:w="7297"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97"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redeemable convertible preferred stock, and stockholders’ deficit</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76,716</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7" w:type="dxa"/>
            <w:tcBorders/>
            <w:vAlign w:val="bottom"/>
          </w:tcPr>
          <w:p>
            <w:pPr>
              <w:pStyle w:val="TableContents"/>
              <w:bidi w:val="0"/>
              <w:spacing w:before="0" w:after="283"/>
              <w:jc w:val="right"/>
              <w:rPr/>
            </w:pPr>
            <w:r>
              <w:rPr/>
              <w:t>165,893</w:t>
            </w:r>
          </w:p>
        </w:tc>
        <w:tc>
          <w:tcPr>
            <w:tcW w:w="158" w:type="dxa"/>
            <w:tcBorders/>
            <w:vAlign w:val="bottom"/>
          </w:tcPr>
          <w:p>
            <w:pPr>
              <w:pStyle w:val="TableContents"/>
              <w:bidi w:val="0"/>
              <w:spacing w:before="0" w:after="283"/>
              <w:jc w:val="left"/>
              <w:rPr/>
            </w:pPr>
            <w:r>
              <w:rPr/>
              <w:t> </w:t>
            </w:r>
          </w:p>
        </w:tc>
      </w:tr>
      <w:tr>
        <w:trPr/>
        <w:tc>
          <w:tcPr>
            <w:tcW w:w="7297"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7" w:name="fin40469_3"/>
      <w:bookmarkEnd w:id="27"/>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Operations and Comprehensive Loss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08"/>
        <w:gridCol w:w="380"/>
        <w:gridCol w:w="140"/>
        <w:gridCol w:w="990"/>
        <w:gridCol w:w="155"/>
        <w:gridCol w:w="343"/>
        <w:gridCol w:w="140"/>
        <w:gridCol w:w="990"/>
        <w:gridCol w:w="159"/>
      </w:tblGrid>
      <w:tr>
        <w:trPr/>
        <w:tc>
          <w:tcPr>
            <w:tcW w:w="6908"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0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7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Collaboration revenue</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1,350</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1,350</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(including related party amounts of $300 and $471 for the years ended December 31, 2024 and 2025, respectively)</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33,864</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 xml:space="preserve">54,153 </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(including related party amounts of $832 and $239 for the years ended December 31, 2024 and 2025, respectively)</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7,689</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 xml:space="preserve">14,356 </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41,553</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68,509</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(41,553</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(67,159</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3,437</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6,627</w:t>
            </w:r>
          </w:p>
        </w:tc>
        <w:tc>
          <w:tcPr>
            <w:tcW w:w="159" w:type="dxa"/>
            <w:tcBorders/>
            <w:vAlign w:val="bottom"/>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preferred stock tranche liability</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(1,674</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(170</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75</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1,752</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6,532</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(39,801</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(60,627</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Accretion of redeemable convertible preferred stock to its redemption value</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(5,245</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(271</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(45,046</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(60,898</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(12.76</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(15.42</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3,531,390</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3,949,438</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income:</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Unrealized gain on available-for-sale marketable securities, net</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67</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32</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other comprehensive loss</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(39,734</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(60,595</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8" w:name="fin40469_4"/>
      <w:bookmarkEnd w:id="28"/>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Redeemable Convertible Preferred Stock and Stockholders’ Deficit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2235" w:type="dxa"/>
        <w:jc w:val="center"/>
        <w:tblInd w:w="0" w:type="dxa"/>
        <w:tblLayout w:type="fixed"/>
        <w:tblCellMar>
          <w:top w:w="0" w:type="dxa"/>
          <w:left w:w="0" w:type="dxa"/>
          <w:bottom w:w="0" w:type="dxa"/>
          <w:right w:w="0" w:type="dxa"/>
        </w:tblCellMar>
      </w:tblPr>
      <w:tblGrid>
        <w:gridCol w:w="1010"/>
        <w:gridCol w:w="60"/>
        <w:gridCol w:w="64"/>
        <w:gridCol w:w="1316"/>
        <w:gridCol w:w="64"/>
        <w:gridCol w:w="64"/>
        <w:gridCol w:w="151"/>
        <w:gridCol w:w="866"/>
        <w:gridCol w:w="60"/>
        <w:gridCol w:w="60"/>
        <w:gridCol w:w="120"/>
        <w:gridCol w:w="60"/>
        <w:gridCol w:w="60"/>
        <w:gridCol w:w="980"/>
        <w:gridCol w:w="60"/>
        <w:gridCol w:w="60"/>
        <w:gridCol w:w="231"/>
        <w:gridCol w:w="629"/>
        <w:gridCol w:w="60"/>
        <w:gridCol w:w="60"/>
        <w:gridCol w:w="198"/>
        <w:gridCol w:w="902"/>
        <w:gridCol w:w="155"/>
        <w:gridCol w:w="60"/>
        <w:gridCol w:w="188"/>
        <w:gridCol w:w="1182"/>
        <w:gridCol w:w="155"/>
        <w:gridCol w:w="60"/>
        <w:gridCol w:w="433"/>
        <w:gridCol w:w="1177"/>
        <w:gridCol w:w="60"/>
        <w:gridCol w:w="60"/>
        <w:gridCol w:w="195"/>
        <w:gridCol w:w="1220"/>
        <w:gridCol w:w="155"/>
      </w:tblGrid>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5" w:type="dxa"/>
            <w:gridSpan w:val="6"/>
            <w:tcBorders>
              <w:bottom w:val="single" w:sz="8" w:space="0" w:color="000000"/>
            </w:tcBorders>
            <w:tcMar>
              <w:bottom w:w="28" w:type="dxa"/>
            </w:tcMar>
            <w:vAlign w:val="bottom"/>
          </w:tcPr>
          <w:p>
            <w:pPr>
              <w:pStyle w:val="TableContents"/>
              <w:bidi w:val="0"/>
              <w:spacing w:before="0" w:after="283"/>
              <w:jc w:val="center"/>
              <w:rPr/>
            </w:pPr>
            <w:r>
              <w:rPr>
                <w:b/>
              </w:rPr>
              <w:t>Redeemable Convertible</w:t>
            </w:r>
            <w:r>
              <w:rPr/>
              <w:br/>
            </w:r>
            <w:r>
              <w:rPr>
                <w:b/>
              </w:rP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r>
            <w:r>
              <w:rPr/>
              <w:br/>
            </w:r>
            <w:r>
              <w:rPr>
                <w:b/>
              </w:rPr>
              <w:t>Capital</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Other</w:t>
            </w:r>
            <w:r>
              <w:rPr/>
              <w:br/>
            </w:r>
            <w:r>
              <w:rPr>
                <w:b/>
              </w:rPr>
              <w:t>Comprehensive</w:t>
            </w:r>
            <w:r>
              <w:rPr/>
              <w:br/>
            </w:r>
            <w:r>
              <w:rPr>
                <w:b/>
              </w:rPr>
              <w:t>Income</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41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Stockholders’</w:t>
            </w:r>
            <w:r>
              <w:rPr/>
              <w:br/>
            </w:r>
            <w:r>
              <w:rPr>
                <w:b/>
              </w:rPr>
              <w:t>Deficit</w:t>
            </w:r>
          </w:p>
        </w:tc>
        <w:tc>
          <w:tcPr>
            <w:tcW w:w="155" w:type="dxa"/>
            <w:vMerge w:val="restart"/>
            <w:tcBorders/>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610"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415"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010"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Balance at January 1, 2024</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30,425,000</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866" w:type="dxa"/>
            <w:tcBorders/>
            <w:shd w:fill="CCEEFF" w:val="clear"/>
            <w:vAlign w:val="bottom"/>
          </w:tcPr>
          <w:p>
            <w:pPr>
              <w:pStyle w:val="TableContents"/>
              <w:bidi w:val="0"/>
              <w:spacing w:before="0" w:after="283"/>
              <w:jc w:val="right"/>
              <w:rPr/>
            </w:pPr>
            <w:r>
              <w:rPr/>
              <w:t>26,046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4,305,697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902" w:type="dxa"/>
            <w:tcBorders/>
            <w:shd w:fill="CCEEFF" w:val="clear"/>
            <w:vAlign w:val="bottom"/>
          </w:tcPr>
          <w:p>
            <w:pPr>
              <w:pStyle w:val="TableContents"/>
              <w:bidi w:val="0"/>
              <w:spacing w:before="0" w:after="283"/>
              <w:jc w:val="right"/>
              <w:rPr/>
            </w:pPr>
            <w:r>
              <w:rPr/>
              <w:t>7,265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(10,582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w:t>
            </w:r>
          </w:p>
        </w:tc>
        <w:tc>
          <w:tcPr>
            <w:tcW w:w="117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(3,316</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7"/>
              </w:rPr>
            </w:pPr>
            <w:r>
              <w:rPr>
                <w:rFonts w:ascii="Times New Roman" w:hAnsi="Times New Roman"/>
                <w:sz w:val="17"/>
              </w:rPr>
              <w:t>Issuance of Series A-2 redeemable convertible preferred stock, net of issuance cost of $18</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27,659,090</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30,407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Issuance of Series B redeemable convertible preferred stock, net of issuance cost of $280 and preferred stock tranche liability of $4,964</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38,181,818</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47,255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7"/>
              </w:rPr>
            </w:pPr>
            <w:r>
              <w:rPr>
                <w:rFonts w:ascii="Times New Roman" w:hAnsi="Times New Roman"/>
                <w:sz w:val="17"/>
              </w:rPr>
              <w:t>Accretion of Series B redeemable convertible preferred stock to its redemption value</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5,245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(5,245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(5,245</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Stock-based compensation expense</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1,388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1,388</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7"/>
              </w:rPr>
            </w:pPr>
            <w:r>
              <w:rPr>
                <w:rFonts w:ascii="Times New Roman" w:hAnsi="Times New Roman"/>
                <w:sz w:val="17"/>
              </w:rPr>
              <w:t>Issuance of common stock upon exercise of stock options</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120,259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76</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Vesting of early exercised stock options</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7"/>
              </w:rPr>
            </w:pPr>
            <w:r>
              <w:rPr>
                <w:rFonts w:ascii="Times New Roman" w:hAnsi="Times New Roman"/>
                <w:sz w:val="17"/>
              </w:rPr>
              <w:t>Unrealized gain on marketable</w:t>
              <w:br/>
              <w:t>securities, net</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67</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Net loss</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(39,801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(39,801</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131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9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3"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b/>
                <w:sz w:val="17"/>
              </w:rPr>
            </w:pPr>
            <w:r>
              <w:rPr>
                <w:rFonts w:ascii="Times New Roman" w:hAnsi="Times New Roman"/>
                <w:b/>
                <w:sz w:val="17"/>
              </w:rPr>
              <w:t>Balance at December 31, 2024</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96,265,908</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866" w:type="dxa"/>
            <w:tcBorders/>
            <w:vAlign w:val="bottom"/>
          </w:tcPr>
          <w:p>
            <w:pPr>
              <w:pStyle w:val="TableContents"/>
              <w:bidi w:val="0"/>
              <w:spacing w:before="0" w:after="283"/>
              <w:jc w:val="right"/>
              <w:rPr/>
            </w:pPr>
            <w:r>
              <w:rPr/>
              <w:t>108,953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4,425,956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62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902" w:type="dxa"/>
            <w:tcBorders/>
            <w:vAlign w:val="bottom"/>
          </w:tcPr>
          <w:p>
            <w:pPr>
              <w:pStyle w:val="TableContents"/>
              <w:bidi w:val="0"/>
              <w:spacing w:before="0" w:after="283"/>
              <w:jc w:val="right"/>
              <w:rPr/>
            </w:pPr>
            <w:r>
              <w:rPr/>
              <w:t>3,490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182" w:type="dxa"/>
            <w:tcBorders/>
            <w:vAlign w:val="bottom"/>
          </w:tcPr>
          <w:p>
            <w:pPr>
              <w:pStyle w:val="TableContents"/>
              <w:bidi w:val="0"/>
              <w:spacing w:before="0" w:after="283"/>
              <w:jc w:val="right"/>
              <w:rPr/>
            </w:pPr>
            <w:r>
              <w:rPr/>
              <w:t>(50,383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w:t>
            </w:r>
          </w:p>
        </w:tc>
        <w:tc>
          <w:tcPr>
            <w:tcW w:w="1177"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(46,825</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Issuance of Series B redeemable convertible preferred stock and settlement of preferred stock tranche liability of $6,808, net of issuance costs of $35</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38,181,818</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59,273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7"/>
              </w:rPr>
            </w:pPr>
            <w:r>
              <w:rPr>
                <w:rFonts w:ascii="Times New Roman" w:hAnsi="Times New Roman"/>
                <w:sz w:val="17"/>
              </w:rPr>
              <w:t>Issuance of Series C redeemable convertible preferred stock, net of issuance cost of $271</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65,454,544</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89,729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Accretion of Series C redeemable convertible preferred stock to its redemption value</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271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(271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(271</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7"/>
              </w:rPr>
            </w:pPr>
            <w:r>
              <w:rPr>
                <w:rFonts w:ascii="Times New Roman" w:hAnsi="Times New Roman"/>
                <w:sz w:val="17"/>
              </w:rPr>
              <w:t>Stock-based compensation expense</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2,388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2,388</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Issuance of common stock upon exercise of stock options</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81,152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194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194</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7"/>
              </w:rPr>
            </w:pPr>
            <w:r>
              <w:rPr>
                <w:rFonts w:ascii="Times New Roman" w:hAnsi="Times New Roman"/>
                <w:sz w:val="17"/>
              </w:rPr>
              <w:t>Vesting of early exercised stock options</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73</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Distribution of investment in EndPath Radio Therapeutics, Inc. as in-kind dividend</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(2,400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(2,400</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7"/>
              </w:rPr>
            </w:pPr>
            <w:r>
              <w:rPr>
                <w:rFonts w:ascii="Times New Roman" w:hAnsi="Times New Roman"/>
                <w:sz w:val="17"/>
              </w:rPr>
              <w:t>Unrealized gain on marketable</w:t>
              <w:br/>
              <w:t>securities, net</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32</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Net loss</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(60,627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(60,627</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131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9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3"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b/>
                <w:sz w:val="17"/>
              </w:rPr>
            </w:pPr>
            <w:r>
              <w:rPr>
                <w:rFonts w:ascii="Times New Roman" w:hAnsi="Times New Roman"/>
                <w:b/>
                <w:sz w:val="17"/>
              </w:rPr>
              <w:t>Balance at December 31, 2025</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199,902,270</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866" w:type="dxa"/>
            <w:tcBorders/>
            <w:vAlign w:val="bottom"/>
          </w:tcPr>
          <w:p>
            <w:pPr>
              <w:pStyle w:val="TableContents"/>
              <w:bidi w:val="0"/>
              <w:spacing w:before="0" w:after="283"/>
              <w:jc w:val="right"/>
              <w:rPr/>
            </w:pPr>
            <w:r>
              <w:rPr/>
              <w:t>258,226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4,507,108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62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902" w:type="dxa"/>
            <w:tcBorders/>
            <w:vAlign w:val="bottom"/>
          </w:tcPr>
          <w:p>
            <w:pPr>
              <w:pStyle w:val="TableContents"/>
              <w:bidi w:val="0"/>
              <w:spacing w:before="0" w:after="283"/>
              <w:jc w:val="right"/>
              <w:rPr/>
            </w:pPr>
            <w:r>
              <w:rPr/>
              <w:t>3,474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182" w:type="dxa"/>
            <w:tcBorders/>
            <w:vAlign w:val="bottom"/>
          </w:tcPr>
          <w:p>
            <w:pPr>
              <w:pStyle w:val="TableContents"/>
              <w:bidi w:val="0"/>
              <w:spacing w:before="0" w:after="283"/>
              <w:jc w:val="right"/>
              <w:rPr/>
            </w:pPr>
            <w:r>
              <w:rPr/>
              <w:t>(111,010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w:t>
            </w:r>
          </w:p>
        </w:tc>
        <w:tc>
          <w:tcPr>
            <w:tcW w:w="1177" w:type="dxa"/>
            <w:tcBorders/>
            <w:vAlign w:val="bottom"/>
          </w:tcPr>
          <w:p>
            <w:pPr>
              <w:pStyle w:val="TableContents"/>
              <w:bidi w:val="0"/>
              <w:spacing w:before="0" w:after="283"/>
              <w:jc w:val="right"/>
              <w:rPr/>
            </w:pPr>
            <w:r>
              <w:rPr/>
              <w:t>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(107,436</w:t>
            </w:r>
          </w:p>
        </w:tc>
        <w:tc>
          <w:tcPr>
            <w:tcW w:w="155" w:type="dxa"/>
            <w:tcBorders/>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double" w:sz="6" w:space="1" w:color="000000"/>
              </w:pBdr>
              <w:bidi w:val="0"/>
              <w:spacing w:before="0" w:after="0"/>
              <w:jc w:val="left"/>
              <w:rPr/>
            </w:pPr>
            <w:r>
              <w:rPr/>
              <w:t> </w:t>
            </w:r>
          </w:p>
        </w:tc>
        <w:tc>
          <w:tcPr>
            <w:tcW w:w="131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86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double" w:sz="6" w:space="1" w:color="000000"/>
              </w:pBdr>
              <w:bidi w:val="0"/>
              <w:spacing w:before="0" w:after="0"/>
              <w:jc w:val="left"/>
              <w:rPr/>
            </w:pPr>
            <w:r>
              <w:rPr/>
              <w:t> </w:t>
            </w:r>
          </w:p>
        </w:tc>
        <w:tc>
          <w:tcPr>
            <w:tcW w:w="9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3" w:type="dxa"/>
            <w:tcBorders/>
            <w:vAlign w:val="bottom"/>
          </w:tcPr>
          <w:p>
            <w:pPr>
              <w:pStyle w:val="TableContents"/>
              <w:pBdr>
                <w:top w:val="double" w:sz="6" w:space="1" w:color="000000"/>
              </w:pBdr>
              <w:bidi w:val="0"/>
              <w:spacing w:before="0" w:after="0"/>
              <w:jc w:val="left"/>
              <w:rPr/>
            </w:pPr>
            <w:r>
              <w:rPr/>
              <w:t> </w:t>
            </w:r>
          </w:p>
        </w:tc>
        <w:tc>
          <w:tcPr>
            <w:tcW w:w="117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9" w:name="fin40469_5"/>
      <w:bookmarkEnd w:id="29"/>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88"/>
        <w:gridCol w:w="233"/>
        <w:gridCol w:w="175"/>
        <w:gridCol w:w="950"/>
        <w:gridCol w:w="194"/>
        <w:gridCol w:w="202"/>
        <w:gridCol w:w="175"/>
        <w:gridCol w:w="1129"/>
        <w:gridCol w:w="159"/>
      </w:tblGrid>
      <w:tr>
        <w:trPr/>
        <w:tc>
          <w:tcPr>
            <w:tcW w:w="6988"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8"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8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6988"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9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3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698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3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950"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12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88"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3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50" w:type="dxa"/>
            <w:tcBorders/>
            <w:vAlign w:val="bottom"/>
          </w:tcPr>
          <w:p>
            <w:pPr>
              <w:pStyle w:val="TableContents"/>
              <w:bidi w:val="0"/>
              <w:spacing w:before="0" w:after="283"/>
              <w:jc w:val="right"/>
              <w:rPr/>
            </w:pPr>
            <w:r>
              <w:rPr/>
              <w:t>(39,801</w:t>
            </w:r>
          </w:p>
        </w:tc>
        <w:tc>
          <w:tcPr>
            <w:tcW w:w="19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129" w:type="dxa"/>
            <w:tcBorders/>
            <w:vAlign w:val="bottom"/>
          </w:tcPr>
          <w:p>
            <w:pPr>
              <w:pStyle w:val="TableContents"/>
              <w:bidi w:val="0"/>
              <w:spacing w:before="0" w:after="283"/>
              <w:jc w:val="right"/>
              <w:rPr/>
            </w:pPr>
            <w:r>
              <w:rPr/>
              <w:t>(60,627</w:t>
            </w:r>
          </w:p>
        </w:tc>
        <w:tc>
          <w:tcPr>
            <w:tcW w:w="159" w:type="dxa"/>
            <w:tcBorders/>
            <w:vAlign w:val="bottom"/>
          </w:tcPr>
          <w:p>
            <w:pPr>
              <w:pStyle w:val="TableContents"/>
              <w:bidi w:val="0"/>
              <w:spacing w:before="0" w:after="283"/>
              <w:jc w:val="left"/>
              <w:rPr/>
            </w:pPr>
            <w:r>
              <w:rPr/>
              <w:t>) </w:t>
            </w:r>
          </w:p>
        </w:tc>
      </w:tr>
      <w:tr>
        <w:trPr/>
        <w:tc>
          <w:tcPr>
            <w:tcW w:w="6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23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950"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12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88"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3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1,388</w:t>
            </w:r>
          </w:p>
        </w:tc>
        <w:tc>
          <w:tcPr>
            <w:tcW w:w="19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2,388</w:t>
            </w:r>
          </w:p>
        </w:tc>
        <w:tc>
          <w:tcPr>
            <w:tcW w:w="159" w:type="dxa"/>
            <w:tcBorders/>
            <w:vAlign w:val="bottom"/>
          </w:tcPr>
          <w:p>
            <w:pPr>
              <w:pStyle w:val="TableContents"/>
              <w:bidi w:val="0"/>
              <w:spacing w:before="0" w:after="283"/>
              <w:jc w:val="left"/>
              <w:rPr/>
            </w:pPr>
            <w:r>
              <w:rPr/>
              <w:t> </w:t>
            </w:r>
          </w:p>
        </w:tc>
      </w:tr>
      <w:tr>
        <w:trPr/>
        <w:tc>
          <w:tcPr>
            <w:tcW w:w="6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expense</w:t>
            </w:r>
          </w:p>
        </w:tc>
        <w:tc>
          <w:tcPr>
            <w:tcW w:w="23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313</w:t>
            </w:r>
          </w:p>
        </w:tc>
        <w:tc>
          <w:tcPr>
            <w:tcW w:w="19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804</w:t>
            </w:r>
          </w:p>
        </w:tc>
        <w:tc>
          <w:tcPr>
            <w:tcW w:w="159" w:type="dxa"/>
            <w:tcBorders/>
            <w:shd w:fill="CCEEFF" w:val="clear"/>
            <w:vAlign w:val="bottom"/>
          </w:tcPr>
          <w:p>
            <w:pPr>
              <w:pStyle w:val="TableContents"/>
              <w:bidi w:val="0"/>
              <w:spacing w:before="0" w:after="283"/>
              <w:jc w:val="left"/>
              <w:rPr/>
            </w:pPr>
            <w:r>
              <w:rPr/>
              <w:t> </w:t>
            </w:r>
          </w:p>
        </w:tc>
      </w:tr>
      <w:tr>
        <w:trPr/>
        <w:tc>
          <w:tcPr>
            <w:tcW w:w="6988" w:type="dxa"/>
            <w:tcBorders/>
          </w:tcPr>
          <w:p>
            <w:pPr>
              <w:pStyle w:val="TableContents"/>
              <w:bidi w:val="0"/>
              <w:spacing w:before="0" w:after="0"/>
              <w:jc w:val="left"/>
              <w:rPr>
                <w:rFonts w:ascii="Times New Roman" w:hAnsi="Times New Roman"/>
                <w:sz w:val="20"/>
              </w:rPr>
            </w:pPr>
            <w:r>
              <w:rPr>
                <w:rFonts w:ascii="Times New Roman" w:hAnsi="Times New Roman"/>
                <w:sz w:val="20"/>
              </w:rPr>
              <w:t>Loss on disposal of property and equipment</w:t>
            </w:r>
          </w:p>
        </w:tc>
        <w:tc>
          <w:tcPr>
            <w:tcW w:w="23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7</w:t>
            </w:r>
          </w:p>
        </w:tc>
        <w:tc>
          <w:tcPr>
            <w:tcW w:w="19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7</w:t>
            </w:r>
          </w:p>
        </w:tc>
        <w:tc>
          <w:tcPr>
            <w:tcW w:w="159" w:type="dxa"/>
            <w:tcBorders/>
            <w:vAlign w:val="bottom"/>
          </w:tcPr>
          <w:p>
            <w:pPr>
              <w:pStyle w:val="TableContents"/>
              <w:bidi w:val="0"/>
              <w:spacing w:before="0" w:after="283"/>
              <w:jc w:val="left"/>
              <w:rPr/>
            </w:pPr>
            <w:r>
              <w:rPr/>
              <w:t> </w:t>
            </w:r>
          </w:p>
        </w:tc>
      </w:tr>
      <w:tr>
        <w:trPr/>
        <w:tc>
          <w:tcPr>
            <w:tcW w:w="6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accretion of discounts on marketable securities</w:t>
            </w:r>
          </w:p>
        </w:tc>
        <w:tc>
          <w:tcPr>
            <w:tcW w:w="23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(681</w:t>
            </w:r>
          </w:p>
        </w:tc>
        <w:tc>
          <w:tcPr>
            <w:tcW w:w="19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(2,658</w:t>
            </w:r>
          </w:p>
        </w:tc>
        <w:tc>
          <w:tcPr>
            <w:tcW w:w="159" w:type="dxa"/>
            <w:tcBorders/>
            <w:shd w:fill="CCEEFF" w:val="clear"/>
            <w:vAlign w:val="bottom"/>
          </w:tcPr>
          <w:p>
            <w:pPr>
              <w:pStyle w:val="TableContents"/>
              <w:bidi w:val="0"/>
              <w:spacing w:before="0" w:after="283"/>
              <w:jc w:val="left"/>
              <w:rPr/>
            </w:pPr>
            <w:r>
              <w:rPr/>
              <w:t>) </w:t>
            </w:r>
          </w:p>
        </w:tc>
      </w:tr>
      <w:tr>
        <w:trPr/>
        <w:tc>
          <w:tcPr>
            <w:tcW w:w="6988" w:type="dxa"/>
            <w:tcBorders/>
          </w:tcPr>
          <w:p>
            <w:pPr>
              <w:pStyle w:val="TableContents"/>
              <w:bidi w:val="0"/>
              <w:spacing w:before="0" w:after="0"/>
              <w:jc w:val="left"/>
              <w:rPr>
                <w:rFonts w:ascii="Times New Roman" w:hAnsi="Times New Roman"/>
                <w:sz w:val="20"/>
              </w:rPr>
            </w:pPr>
            <w:r>
              <w:rPr>
                <w:rFonts w:ascii="Times New Roman" w:hAnsi="Times New Roman"/>
                <w:sz w:val="20"/>
              </w:rPr>
              <w:t>Non-cash lease expense</w:t>
            </w:r>
          </w:p>
        </w:tc>
        <w:tc>
          <w:tcPr>
            <w:tcW w:w="23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528</w:t>
            </w:r>
          </w:p>
        </w:tc>
        <w:tc>
          <w:tcPr>
            <w:tcW w:w="19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1,398</w:t>
            </w:r>
          </w:p>
        </w:tc>
        <w:tc>
          <w:tcPr>
            <w:tcW w:w="159" w:type="dxa"/>
            <w:tcBorders/>
            <w:vAlign w:val="bottom"/>
          </w:tcPr>
          <w:p>
            <w:pPr>
              <w:pStyle w:val="TableContents"/>
              <w:bidi w:val="0"/>
              <w:spacing w:before="0" w:after="283"/>
              <w:jc w:val="left"/>
              <w:rPr/>
            </w:pPr>
            <w:r>
              <w:rPr/>
              <w:t> </w:t>
            </w:r>
          </w:p>
        </w:tc>
      </w:tr>
      <w:tr>
        <w:trPr/>
        <w:tc>
          <w:tcPr>
            <w:tcW w:w="6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preferred stock tranche liability</w:t>
            </w:r>
          </w:p>
        </w:tc>
        <w:tc>
          <w:tcPr>
            <w:tcW w:w="23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1,674</w:t>
            </w:r>
          </w:p>
        </w:tc>
        <w:tc>
          <w:tcPr>
            <w:tcW w:w="19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170</w:t>
            </w:r>
          </w:p>
        </w:tc>
        <w:tc>
          <w:tcPr>
            <w:tcW w:w="159" w:type="dxa"/>
            <w:tcBorders/>
            <w:shd w:fill="CCEEFF" w:val="clear"/>
            <w:vAlign w:val="bottom"/>
          </w:tcPr>
          <w:p>
            <w:pPr>
              <w:pStyle w:val="TableContents"/>
              <w:bidi w:val="0"/>
              <w:spacing w:before="0" w:after="283"/>
              <w:jc w:val="left"/>
              <w:rPr/>
            </w:pPr>
            <w:r>
              <w:rPr/>
              <w:t> </w:t>
            </w:r>
          </w:p>
        </w:tc>
      </w:tr>
      <w:tr>
        <w:trPr/>
        <w:tc>
          <w:tcPr>
            <w:tcW w:w="6988" w:type="dxa"/>
            <w:tcBorders/>
          </w:tcPr>
          <w:p>
            <w:pPr>
              <w:pStyle w:val="TableContents"/>
              <w:bidi w:val="0"/>
              <w:spacing w:before="0" w:after="0"/>
              <w:jc w:val="left"/>
              <w:rPr>
                <w:rFonts w:ascii="Times New Roman" w:hAnsi="Times New Roman"/>
                <w:sz w:val="20"/>
              </w:rPr>
            </w:pPr>
            <w:r>
              <w:rPr>
                <w:rFonts w:ascii="Times New Roman" w:hAnsi="Times New Roman"/>
                <w:sz w:val="20"/>
              </w:rPr>
              <w:t>Write-off of deferred offering costs</w:t>
            </w:r>
          </w:p>
        </w:tc>
        <w:tc>
          <w:tcPr>
            <w:tcW w:w="23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w:t>
            </w:r>
          </w:p>
        </w:tc>
        <w:tc>
          <w:tcPr>
            <w:tcW w:w="19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393</w:t>
            </w:r>
          </w:p>
        </w:tc>
        <w:tc>
          <w:tcPr>
            <w:tcW w:w="159" w:type="dxa"/>
            <w:tcBorders/>
            <w:vAlign w:val="bottom"/>
          </w:tcPr>
          <w:p>
            <w:pPr>
              <w:pStyle w:val="TableContents"/>
              <w:bidi w:val="0"/>
              <w:spacing w:before="0" w:after="283"/>
              <w:jc w:val="left"/>
              <w:rPr/>
            </w:pPr>
            <w:r>
              <w:rPr/>
              <w:t> </w:t>
            </w:r>
          </w:p>
        </w:tc>
      </w:tr>
      <w:tr>
        <w:trPr/>
        <w:tc>
          <w:tcPr>
            <w:tcW w:w="6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consideration for collaboration revenue</w:t>
            </w:r>
          </w:p>
        </w:tc>
        <w:tc>
          <w:tcPr>
            <w:tcW w:w="23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w:t>
            </w:r>
          </w:p>
        </w:tc>
        <w:tc>
          <w:tcPr>
            <w:tcW w:w="19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(1,350</w:t>
            </w:r>
          </w:p>
        </w:tc>
        <w:tc>
          <w:tcPr>
            <w:tcW w:w="159" w:type="dxa"/>
            <w:tcBorders/>
            <w:shd w:fill="CCEEFF" w:val="clear"/>
            <w:vAlign w:val="bottom"/>
          </w:tcPr>
          <w:p>
            <w:pPr>
              <w:pStyle w:val="TableContents"/>
              <w:bidi w:val="0"/>
              <w:spacing w:before="0" w:after="283"/>
              <w:jc w:val="left"/>
              <w:rPr/>
            </w:pPr>
            <w:r>
              <w:rPr/>
              <w:t>) </w:t>
            </w:r>
          </w:p>
        </w:tc>
      </w:tr>
      <w:tr>
        <w:trPr/>
        <w:tc>
          <w:tcPr>
            <w:tcW w:w="6988"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23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12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3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(1,948</w:t>
            </w:r>
          </w:p>
        </w:tc>
        <w:tc>
          <w:tcPr>
            <w:tcW w:w="19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(420</w:t>
            </w:r>
          </w:p>
        </w:tc>
        <w:tc>
          <w:tcPr>
            <w:tcW w:w="159" w:type="dxa"/>
            <w:tcBorders/>
            <w:shd w:fill="CCEEFF" w:val="clear"/>
            <w:vAlign w:val="bottom"/>
          </w:tcPr>
          <w:p>
            <w:pPr>
              <w:pStyle w:val="TableContents"/>
              <w:bidi w:val="0"/>
              <w:spacing w:before="0" w:after="283"/>
              <w:jc w:val="left"/>
              <w:rPr/>
            </w:pPr>
            <w:r>
              <w:rPr/>
              <w:t>) </w:t>
            </w:r>
          </w:p>
        </w:tc>
      </w:tr>
      <w:tr>
        <w:trPr/>
        <w:tc>
          <w:tcPr>
            <w:tcW w:w="6988"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3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1,718</w:t>
            </w:r>
          </w:p>
        </w:tc>
        <w:tc>
          <w:tcPr>
            <w:tcW w:w="19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180</w:t>
            </w:r>
          </w:p>
        </w:tc>
        <w:tc>
          <w:tcPr>
            <w:tcW w:w="159" w:type="dxa"/>
            <w:tcBorders/>
            <w:vAlign w:val="bottom"/>
          </w:tcPr>
          <w:p>
            <w:pPr>
              <w:pStyle w:val="TableContents"/>
              <w:bidi w:val="0"/>
              <w:spacing w:before="0" w:after="283"/>
              <w:jc w:val="left"/>
              <w:rPr/>
            </w:pPr>
            <w:r>
              <w:rPr/>
              <w:t> </w:t>
            </w:r>
          </w:p>
        </w:tc>
      </w:tr>
      <w:tr>
        <w:trPr/>
        <w:tc>
          <w:tcPr>
            <w:tcW w:w="6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and other current liabilities</w:t>
            </w:r>
          </w:p>
        </w:tc>
        <w:tc>
          <w:tcPr>
            <w:tcW w:w="23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2,305</w:t>
            </w:r>
          </w:p>
        </w:tc>
        <w:tc>
          <w:tcPr>
            <w:tcW w:w="19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1,123</w:t>
            </w:r>
          </w:p>
        </w:tc>
        <w:tc>
          <w:tcPr>
            <w:tcW w:w="159" w:type="dxa"/>
            <w:tcBorders/>
            <w:shd w:fill="CCEEFF" w:val="clear"/>
            <w:vAlign w:val="bottom"/>
          </w:tcPr>
          <w:p>
            <w:pPr>
              <w:pStyle w:val="TableContents"/>
              <w:bidi w:val="0"/>
              <w:spacing w:before="0" w:after="283"/>
              <w:jc w:val="left"/>
              <w:rPr/>
            </w:pPr>
            <w:r>
              <w:rPr/>
              <w:t> </w:t>
            </w:r>
          </w:p>
        </w:tc>
      </w:tr>
      <w:tr>
        <w:trPr/>
        <w:tc>
          <w:tcPr>
            <w:tcW w:w="698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liability</w:t>
            </w:r>
          </w:p>
        </w:tc>
        <w:tc>
          <w:tcPr>
            <w:tcW w:w="23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(538</w:t>
            </w:r>
          </w:p>
        </w:tc>
        <w:tc>
          <w:tcPr>
            <w:tcW w:w="19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(509</w:t>
            </w:r>
          </w:p>
        </w:tc>
        <w:tc>
          <w:tcPr>
            <w:tcW w:w="159" w:type="dxa"/>
            <w:tcBorders/>
            <w:vAlign w:val="bottom"/>
          </w:tcPr>
          <w:p>
            <w:pPr>
              <w:pStyle w:val="TableContents"/>
              <w:bidi w:val="0"/>
              <w:spacing w:before="0" w:after="283"/>
              <w:jc w:val="left"/>
              <w:rPr/>
            </w:pPr>
            <w:r>
              <w:rPr/>
              <w:t>) </w:t>
            </w:r>
          </w:p>
        </w:tc>
      </w:tr>
      <w:tr>
        <w:trPr/>
        <w:tc>
          <w:tcPr>
            <w:tcW w:w="6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3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w:t>
            </w:r>
          </w:p>
        </w:tc>
        <w:tc>
          <w:tcPr>
            <w:tcW w:w="19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(98</w:t>
            </w:r>
          </w:p>
        </w:tc>
        <w:tc>
          <w:tcPr>
            <w:tcW w:w="159" w:type="dxa"/>
            <w:tcBorders/>
            <w:shd w:fill="CCEEFF" w:val="clear"/>
            <w:vAlign w:val="bottom"/>
          </w:tcPr>
          <w:p>
            <w:pPr>
              <w:pStyle w:val="TableContents"/>
              <w:bidi w:val="0"/>
              <w:spacing w:before="0" w:after="283"/>
              <w:jc w:val="left"/>
              <w:rPr/>
            </w:pPr>
            <w:r>
              <w:rPr/>
              <w:t>) </w:t>
            </w:r>
          </w:p>
        </w:tc>
      </w:tr>
      <w:tr>
        <w:trPr/>
        <w:tc>
          <w:tcPr>
            <w:tcW w:w="6988"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950"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88"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23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(35,035</w:t>
            </w:r>
          </w:p>
        </w:tc>
        <w:tc>
          <w:tcPr>
            <w:tcW w:w="19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(59,199</w:t>
            </w:r>
          </w:p>
        </w:tc>
        <w:tc>
          <w:tcPr>
            <w:tcW w:w="159" w:type="dxa"/>
            <w:tcBorders/>
            <w:vAlign w:val="bottom"/>
          </w:tcPr>
          <w:p>
            <w:pPr>
              <w:pStyle w:val="TableContents"/>
              <w:bidi w:val="0"/>
              <w:spacing w:before="0" w:after="283"/>
              <w:jc w:val="left"/>
              <w:rPr/>
            </w:pPr>
            <w:r>
              <w:rPr/>
              <w:t>) </w:t>
            </w:r>
          </w:p>
        </w:tc>
      </w:tr>
      <w:tr>
        <w:trPr/>
        <w:tc>
          <w:tcPr>
            <w:tcW w:w="6988"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950"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8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23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950"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12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88" w:type="dxa"/>
            <w:tcBorders/>
          </w:tcPr>
          <w:p>
            <w:pPr>
              <w:pStyle w:val="TableContents"/>
              <w:bidi w:val="0"/>
              <w:spacing w:before="0" w:after="0"/>
              <w:jc w:val="left"/>
              <w:rPr>
                <w:rFonts w:ascii="Times New Roman" w:hAnsi="Times New Roman"/>
                <w:sz w:val="20"/>
              </w:rPr>
            </w:pPr>
            <w:r>
              <w:rPr>
                <w:rFonts w:ascii="Times New Roman" w:hAnsi="Times New Roman"/>
                <w:sz w:val="20"/>
              </w:rPr>
              <w:t>Maturities of marketable securities</w:t>
            </w:r>
          </w:p>
        </w:tc>
        <w:tc>
          <w:tcPr>
            <w:tcW w:w="23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8,000</w:t>
            </w:r>
          </w:p>
        </w:tc>
        <w:tc>
          <w:tcPr>
            <w:tcW w:w="19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150,750</w:t>
            </w:r>
          </w:p>
        </w:tc>
        <w:tc>
          <w:tcPr>
            <w:tcW w:w="159" w:type="dxa"/>
            <w:tcBorders/>
            <w:vAlign w:val="bottom"/>
          </w:tcPr>
          <w:p>
            <w:pPr>
              <w:pStyle w:val="TableContents"/>
              <w:bidi w:val="0"/>
              <w:spacing w:before="0" w:after="283"/>
              <w:jc w:val="left"/>
              <w:rPr/>
            </w:pPr>
            <w:r>
              <w:rPr/>
              <w:t> </w:t>
            </w:r>
          </w:p>
        </w:tc>
      </w:tr>
      <w:tr>
        <w:trPr/>
        <w:tc>
          <w:tcPr>
            <w:tcW w:w="6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marketable securities</w:t>
            </w:r>
          </w:p>
        </w:tc>
        <w:tc>
          <w:tcPr>
            <w:tcW w:w="23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(46,032</w:t>
            </w:r>
          </w:p>
        </w:tc>
        <w:tc>
          <w:tcPr>
            <w:tcW w:w="19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(221,892</w:t>
            </w:r>
          </w:p>
        </w:tc>
        <w:tc>
          <w:tcPr>
            <w:tcW w:w="159" w:type="dxa"/>
            <w:tcBorders/>
            <w:shd w:fill="CCEEFF" w:val="clear"/>
            <w:vAlign w:val="bottom"/>
          </w:tcPr>
          <w:p>
            <w:pPr>
              <w:pStyle w:val="TableContents"/>
              <w:bidi w:val="0"/>
              <w:spacing w:before="0" w:after="283"/>
              <w:jc w:val="left"/>
              <w:rPr/>
            </w:pPr>
            <w:r>
              <w:rPr/>
              <w:t>) </w:t>
            </w:r>
          </w:p>
        </w:tc>
      </w:tr>
      <w:tr>
        <w:trPr/>
        <w:tc>
          <w:tcPr>
            <w:tcW w:w="6988"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23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(1,772</w:t>
            </w:r>
          </w:p>
        </w:tc>
        <w:tc>
          <w:tcPr>
            <w:tcW w:w="19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(2,313</w:t>
            </w:r>
          </w:p>
        </w:tc>
        <w:tc>
          <w:tcPr>
            <w:tcW w:w="159" w:type="dxa"/>
            <w:tcBorders/>
            <w:vAlign w:val="bottom"/>
          </w:tcPr>
          <w:p>
            <w:pPr>
              <w:pStyle w:val="TableContents"/>
              <w:bidi w:val="0"/>
              <w:spacing w:before="0" w:after="283"/>
              <w:jc w:val="left"/>
              <w:rPr/>
            </w:pPr>
            <w:r>
              <w:rPr/>
              <w:t>) </w:t>
            </w:r>
          </w:p>
        </w:tc>
      </w:tr>
      <w:tr>
        <w:trPr/>
        <w:tc>
          <w:tcPr>
            <w:tcW w:w="6988"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950"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3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(39,804</w:t>
            </w:r>
          </w:p>
        </w:tc>
        <w:tc>
          <w:tcPr>
            <w:tcW w:w="19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(73,455</w:t>
            </w:r>
          </w:p>
        </w:tc>
        <w:tc>
          <w:tcPr>
            <w:tcW w:w="159" w:type="dxa"/>
            <w:tcBorders/>
            <w:shd w:fill="CCEEFF" w:val="clear"/>
            <w:vAlign w:val="bottom"/>
          </w:tcPr>
          <w:p>
            <w:pPr>
              <w:pStyle w:val="TableContents"/>
              <w:bidi w:val="0"/>
              <w:spacing w:before="0" w:after="283"/>
              <w:jc w:val="left"/>
              <w:rPr/>
            </w:pPr>
            <w:r>
              <w:rPr/>
              <w:t>) </w:t>
            </w:r>
          </w:p>
        </w:tc>
      </w:tr>
      <w:tr>
        <w:trPr/>
        <w:tc>
          <w:tcPr>
            <w:tcW w:w="6988"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950"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88"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3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12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issuance of common stock upon exercise of stock options</w:t>
            </w:r>
          </w:p>
        </w:tc>
        <w:tc>
          <w:tcPr>
            <w:tcW w:w="23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310</w:t>
            </w:r>
          </w:p>
        </w:tc>
        <w:tc>
          <w:tcPr>
            <w:tcW w:w="19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194</w:t>
            </w:r>
          </w:p>
        </w:tc>
        <w:tc>
          <w:tcPr>
            <w:tcW w:w="159" w:type="dxa"/>
            <w:tcBorders/>
            <w:shd w:fill="CCEEFF" w:val="clear"/>
            <w:vAlign w:val="bottom"/>
          </w:tcPr>
          <w:p>
            <w:pPr>
              <w:pStyle w:val="TableContents"/>
              <w:bidi w:val="0"/>
              <w:spacing w:before="0" w:after="283"/>
              <w:jc w:val="left"/>
              <w:rPr/>
            </w:pPr>
            <w:r>
              <w:rPr/>
              <w:t> </w:t>
            </w:r>
          </w:p>
        </w:tc>
      </w:tr>
      <w:tr>
        <w:trPr/>
        <w:tc>
          <w:tcPr>
            <w:tcW w:w="6988"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issuance of Series A-2 redeemable convertible preferred stock, net of issuance costs</w:t>
            </w:r>
          </w:p>
        </w:tc>
        <w:tc>
          <w:tcPr>
            <w:tcW w:w="23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30,407</w:t>
            </w:r>
          </w:p>
        </w:tc>
        <w:tc>
          <w:tcPr>
            <w:tcW w:w="19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w:t>
            </w:r>
          </w:p>
        </w:tc>
        <w:tc>
          <w:tcPr>
            <w:tcW w:w="159" w:type="dxa"/>
            <w:tcBorders/>
            <w:vAlign w:val="bottom"/>
          </w:tcPr>
          <w:p>
            <w:pPr>
              <w:pStyle w:val="TableContents"/>
              <w:bidi w:val="0"/>
              <w:spacing w:before="0" w:after="283"/>
              <w:jc w:val="left"/>
              <w:rPr/>
            </w:pPr>
            <w:r>
              <w:rPr/>
              <w:t> </w:t>
            </w:r>
          </w:p>
        </w:tc>
      </w:tr>
      <w:tr>
        <w:trPr/>
        <w:tc>
          <w:tcPr>
            <w:tcW w:w="6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issuance of Series B redeemable convertible preferred stock including the tranche liability, net of issuance costs</w:t>
            </w:r>
          </w:p>
        </w:tc>
        <w:tc>
          <w:tcPr>
            <w:tcW w:w="23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52,219</w:t>
            </w:r>
          </w:p>
        </w:tc>
        <w:tc>
          <w:tcPr>
            <w:tcW w:w="19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6988"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issuance of Series B redeemable convertible preferred stock, net of issuance costs</w:t>
            </w:r>
          </w:p>
        </w:tc>
        <w:tc>
          <w:tcPr>
            <w:tcW w:w="23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w:t>
            </w:r>
          </w:p>
        </w:tc>
        <w:tc>
          <w:tcPr>
            <w:tcW w:w="19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52,465</w:t>
            </w:r>
          </w:p>
        </w:tc>
        <w:tc>
          <w:tcPr>
            <w:tcW w:w="159" w:type="dxa"/>
            <w:tcBorders/>
            <w:vAlign w:val="bottom"/>
          </w:tcPr>
          <w:p>
            <w:pPr>
              <w:pStyle w:val="TableContents"/>
              <w:bidi w:val="0"/>
              <w:spacing w:before="0" w:after="283"/>
              <w:jc w:val="left"/>
              <w:rPr/>
            </w:pPr>
            <w:r>
              <w:rPr/>
              <w:t> </w:t>
            </w:r>
          </w:p>
        </w:tc>
      </w:tr>
      <w:tr>
        <w:trPr/>
        <w:tc>
          <w:tcPr>
            <w:tcW w:w="6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issuance of Series C redeemable convertible preferred stock, net of issuance costs</w:t>
            </w:r>
          </w:p>
        </w:tc>
        <w:tc>
          <w:tcPr>
            <w:tcW w:w="23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w:t>
            </w:r>
          </w:p>
        </w:tc>
        <w:tc>
          <w:tcPr>
            <w:tcW w:w="19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89,729</w:t>
            </w:r>
          </w:p>
        </w:tc>
        <w:tc>
          <w:tcPr>
            <w:tcW w:w="159" w:type="dxa"/>
            <w:tcBorders/>
            <w:shd w:fill="CCEEFF" w:val="clear"/>
            <w:vAlign w:val="bottom"/>
          </w:tcPr>
          <w:p>
            <w:pPr>
              <w:pStyle w:val="TableContents"/>
              <w:bidi w:val="0"/>
              <w:spacing w:before="0" w:after="283"/>
              <w:jc w:val="left"/>
              <w:rPr/>
            </w:pPr>
            <w:r>
              <w:rPr/>
              <w:t> </w:t>
            </w:r>
          </w:p>
        </w:tc>
      </w:tr>
      <w:tr>
        <w:trPr/>
        <w:tc>
          <w:tcPr>
            <w:tcW w:w="6988" w:type="dxa"/>
            <w:tcBorders/>
          </w:tcPr>
          <w:p>
            <w:pPr>
              <w:pStyle w:val="TableContents"/>
              <w:bidi w:val="0"/>
              <w:spacing w:before="0" w:after="0"/>
              <w:jc w:val="left"/>
              <w:rPr>
                <w:rFonts w:ascii="Times New Roman" w:hAnsi="Times New Roman"/>
                <w:sz w:val="20"/>
              </w:rPr>
            </w:pPr>
            <w:r>
              <w:rPr>
                <w:rFonts w:ascii="Times New Roman" w:hAnsi="Times New Roman"/>
                <w:sz w:val="20"/>
              </w:rPr>
              <w:t>Payments of deferred offering costs</w:t>
            </w:r>
          </w:p>
        </w:tc>
        <w:tc>
          <w:tcPr>
            <w:tcW w:w="23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(19</w:t>
            </w:r>
          </w:p>
        </w:tc>
        <w:tc>
          <w:tcPr>
            <w:tcW w:w="19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(376</w:t>
            </w:r>
          </w:p>
        </w:tc>
        <w:tc>
          <w:tcPr>
            <w:tcW w:w="159" w:type="dxa"/>
            <w:tcBorders/>
            <w:vAlign w:val="bottom"/>
          </w:tcPr>
          <w:p>
            <w:pPr>
              <w:pStyle w:val="TableContents"/>
              <w:bidi w:val="0"/>
              <w:spacing w:before="0" w:after="283"/>
              <w:jc w:val="left"/>
              <w:rPr/>
            </w:pPr>
            <w:r>
              <w:rPr/>
              <w:t>) </w:t>
            </w:r>
          </w:p>
        </w:tc>
      </w:tr>
      <w:tr>
        <w:trPr/>
        <w:tc>
          <w:tcPr>
            <w:tcW w:w="6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Principal payments of finance lease liability</w:t>
            </w:r>
          </w:p>
        </w:tc>
        <w:tc>
          <w:tcPr>
            <w:tcW w:w="23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(171</w:t>
            </w:r>
          </w:p>
        </w:tc>
        <w:tc>
          <w:tcPr>
            <w:tcW w:w="19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6988"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950"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88"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23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82,746</w:t>
            </w:r>
          </w:p>
        </w:tc>
        <w:tc>
          <w:tcPr>
            <w:tcW w:w="19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142,012</w:t>
            </w:r>
          </w:p>
        </w:tc>
        <w:tc>
          <w:tcPr>
            <w:tcW w:w="159" w:type="dxa"/>
            <w:tcBorders/>
            <w:vAlign w:val="bottom"/>
          </w:tcPr>
          <w:p>
            <w:pPr>
              <w:pStyle w:val="TableContents"/>
              <w:bidi w:val="0"/>
              <w:spacing w:before="0" w:after="283"/>
              <w:jc w:val="left"/>
              <w:rPr/>
            </w:pPr>
            <w:r>
              <w:rPr/>
              <w:t> </w:t>
            </w:r>
          </w:p>
        </w:tc>
      </w:tr>
      <w:tr>
        <w:trPr/>
        <w:tc>
          <w:tcPr>
            <w:tcW w:w="6988"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950"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 in cash, cash equivalents and restricted cash</w:t>
            </w:r>
          </w:p>
        </w:tc>
        <w:tc>
          <w:tcPr>
            <w:tcW w:w="23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7,907</w:t>
            </w:r>
          </w:p>
        </w:tc>
        <w:tc>
          <w:tcPr>
            <w:tcW w:w="19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9,358</w:t>
            </w:r>
          </w:p>
        </w:tc>
        <w:tc>
          <w:tcPr>
            <w:tcW w:w="159" w:type="dxa"/>
            <w:tcBorders/>
            <w:shd w:fill="CCEEFF" w:val="clear"/>
            <w:vAlign w:val="bottom"/>
          </w:tcPr>
          <w:p>
            <w:pPr>
              <w:pStyle w:val="TableContents"/>
              <w:bidi w:val="0"/>
              <w:spacing w:before="0" w:after="283"/>
              <w:jc w:val="left"/>
              <w:rPr/>
            </w:pPr>
            <w:r>
              <w:rPr/>
              <w:t> </w:t>
            </w:r>
          </w:p>
        </w:tc>
      </w:tr>
      <w:tr>
        <w:trPr/>
        <w:tc>
          <w:tcPr>
            <w:tcW w:w="6988"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the beginning of the year</w:t>
            </w:r>
          </w:p>
        </w:tc>
        <w:tc>
          <w:tcPr>
            <w:tcW w:w="23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23,332</w:t>
            </w:r>
          </w:p>
        </w:tc>
        <w:tc>
          <w:tcPr>
            <w:tcW w:w="19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31,239</w:t>
            </w:r>
          </w:p>
        </w:tc>
        <w:tc>
          <w:tcPr>
            <w:tcW w:w="159" w:type="dxa"/>
            <w:tcBorders/>
            <w:vAlign w:val="bottom"/>
          </w:tcPr>
          <w:p>
            <w:pPr>
              <w:pStyle w:val="TableContents"/>
              <w:bidi w:val="0"/>
              <w:spacing w:before="0" w:after="283"/>
              <w:jc w:val="left"/>
              <w:rPr/>
            </w:pPr>
            <w:r>
              <w:rPr/>
              <w:t> </w:t>
            </w:r>
          </w:p>
        </w:tc>
      </w:tr>
      <w:tr>
        <w:trPr/>
        <w:tc>
          <w:tcPr>
            <w:tcW w:w="6988"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950"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the end of the year</w:t>
            </w:r>
          </w:p>
        </w:tc>
        <w:tc>
          <w:tcPr>
            <w:tcW w:w="23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50" w:type="dxa"/>
            <w:tcBorders/>
            <w:shd w:fill="CCEEFF" w:val="clear"/>
            <w:vAlign w:val="bottom"/>
          </w:tcPr>
          <w:p>
            <w:pPr>
              <w:pStyle w:val="TableContents"/>
              <w:bidi w:val="0"/>
              <w:spacing w:before="0" w:after="283"/>
              <w:jc w:val="right"/>
              <w:rPr/>
            </w:pPr>
            <w:r>
              <w:rPr/>
              <w:t>31,239</w:t>
            </w:r>
          </w:p>
        </w:tc>
        <w:tc>
          <w:tcPr>
            <w:tcW w:w="19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129" w:type="dxa"/>
            <w:tcBorders/>
            <w:shd w:fill="CCEEFF" w:val="clear"/>
            <w:vAlign w:val="bottom"/>
          </w:tcPr>
          <w:p>
            <w:pPr>
              <w:pStyle w:val="TableContents"/>
              <w:bidi w:val="0"/>
              <w:spacing w:before="0" w:after="283"/>
              <w:jc w:val="right"/>
              <w:rPr/>
            </w:pPr>
            <w:r>
              <w:rPr/>
              <w:t>40,597</w:t>
            </w:r>
          </w:p>
        </w:tc>
        <w:tc>
          <w:tcPr>
            <w:tcW w:w="159" w:type="dxa"/>
            <w:tcBorders/>
            <w:shd w:fill="CCEEFF" w:val="clear"/>
            <w:vAlign w:val="bottom"/>
          </w:tcPr>
          <w:p>
            <w:pPr>
              <w:pStyle w:val="TableContents"/>
              <w:bidi w:val="0"/>
              <w:spacing w:before="0" w:after="283"/>
              <w:jc w:val="left"/>
              <w:rPr/>
            </w:pPr>
            <w:r>
              <w:rPr/>
              <w:t> </w:t>
            </w:r>
          </w:p>
        </w:tc>
      </w:tr>
      <w:tr>
        <w:trPr/>
        <w:tc>
          <w:tcPr>
            <w:tcW w:w="6988"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950" w:type="dxa"/>
            <w:tcBorders/>
            <w:vAlign w:val="bottom"/>
          </w:tcPr>
          <w:p>
            <w:pPr>
              <w:pStyle w:val="TableContents"/>
              <w:pBdr>
                <w:top w:val="double" w:sz="6"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12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6990"/>
        <w:gridCol w:w="300"/>
        <w:gridCol w:w="204"/>
        <w:gridCol w:w="1007"/>
        <w:gridCol w:w="87"/>
        <w:gridCol w:w="340"/>
        <w:gridCol w:w="204"/>
        <w:gridCol w:w="1010"/>
        <w:gridCol w:w="63"/>
      </w:tblGrid>
      <w:tr>
        <w:trPr/>
        <w:tc>
          <w:tcPr>
            <w:tcW w:w="6990"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99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285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3" w:type="dxa"/>
            <w:tcBorders/>
            <w:vAlign w:val="bottom"/>
          </w:tcPr>
          <w:p>
            <w:pPr>
              <w:pStyle w:val="TableContents"/>
              <w:bidi w:val="0"/>
              <w:spacing w:before="0" w:after="283"/>
              <w:jc w:val="left"/>
              <w:rPr/>
            </w:pPr>
            <w:r>
              <w:rPr/>
              <w:t> </w:t>
            </w:r>
          </w:p>
        </w:tc>
      </w:tr>
      <w:tr>
        <w:trPr/>
        <w:tc>
          <w:tcPr>
            <w:tcW w:w="699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2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87"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2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3" w:type="dxa"/>
            <w:tcBorders/>
            <w:vAlign w:val="bottom"/>
          </w:tcPr>
          <w:p>
            <w:pPr>
              <w:pStyle w:val="TableContents"/>
              <w:bidi w:val="0"/>
              <w:spacing w:before="0" w:after="283"/>
              <w:jc w:val="left"/>
              <w:rPr/>
            </w:pPr>
            <w:r>
              <w:rPr/>
              <w:t> </w:t>
            </w:r>
          </w:p>
        </w:tc>
      </w:tr>
      <w:tr>
        <w:trPr/>
        <w:tc>
          <w:tcPr>
            <w:tcW w:w="699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disclosures of noncash investing and financing activities</w:t>
            </w:r>
          </w:p>
        </w:tc>
        <w:tc>
          <w:tcPr>
            <w:tcW w:w="30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007"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34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01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990"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purchases in accounts payable</w:t>
            </w:r>
          </w:p>
        </w:tc>
        <w:tc>
          <w:tcPr>
            <w:tcW w:w="30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1,272</w:t>
            </w:r>
          </w:p>
        </w:tc>
        <w:tc>
          <w:tcPr>
            <w:tcW w:w="87"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01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6990"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007" w:type="dxa"/>
            <w:tcBorders/>
            <w:vAlign w:val="bottom"/>
          </w:tcPr>
          <w:p>
            <w:pPr>
              <w:pStyle w:val="TableContents"/>
              <w:pBdr>
                <w:top w:val="double" w:sz="6"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Accretion of redeemable convertible preferred stock to its redemption value</w:t>
            </w:r>
          </w:p>
        </w:tc>
        <w:tc>
          <w:tcPr>
            <w:tcW w:w="30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5,245</w:t>
            </w:r>
          </w:p>
        </w:tc>
        <w:tc>
          <w:tcPr>
            <w:tcW w:w="87"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010" w:type="dxa"/>
            <w:tcBorders/>
            <w:shd w:fill="CCEEFF" w:val="clear"/>
            <w:vAlign w:val="bottom"/>
          </w:tcPr>
          <w:p>
            <w:pPr>
              <w:pStyle w:val="TableContents"/>
              <w:bidi w:val="0"/>
              <w:spacing w:before="0" w:after="283"/>
              <w:jc w:val="right"/>
              <w:rPr/>
            </w:pPr>
            <w:r>
              <w:rPr/>
              <w:t>271</w:t>
            </w:r>
          </w:p>
        </w:tc>
        <w:tc>
          <w:tcPr>
            <w:tcW w:w="63" w:type="dxa"/>
            <w:tcBorders/>
            <w:shd w:fill="CCEEFF" w:val="clear"/>
            <w:vAlign w:val="bottom"/>
          </w:tcPr>
          <w:p>
            <w:pPr>
              <w:pStyle w:val="TableContents"/>
              <w:bidi w:val="0"/>
              <w:spacing w:before="0" w:after="283"/>
              <w:jc w:val="left"/>
              <w:rPr/>
            </w:pPr>
            <w:r>
              <w:rPr/>
              <w:t> </w:t>
            </w:r>
          </w:p>
        </w:tc>
      </w:tr>
      <w:tr>
        <w:trPr/>
        <w:tc>
          <w:tcPr>
            <w:tcW w:w="6990"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007" w:type="dxa"/>
            <w:tcBorders/>
            <w:vAlign w:val="bottom"/>
          </w:tcPr>
          <w:p>
            <w:pPr>
              <w:pStyle w:val="TableContents"/>
              <w:pBdr>
                <w:top w:val="double" w:sz="6"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90" w:type="dxa"/>
            <w:tcBorders/>
          </w:tcPr>
          <w:p>
            <w:pPr>
              <w:pStyle w:val="TableContents"/>
              <w:bidi w:val="0"/>
              <w:spacing w:before="0" w:after="0"/>
              <w:jc w:val="left"/>
              <w:rPr>
                <w:rFonts w:ascii="Times New Roman" w:hAnsi="Times New Roman"/>
                <w:sz w:val="20"/>
              </w:rPr>
            </w:pPr>
            <w:r>
              <w:rPr>
                <w:rFonts w:ascii="Times New Roman" w:hAnsi="Times New Roman"/>
                <w:sz w:val="20"/>
              </w:rPr>
              <w:t>Deferred offering costs in accounts payable and accrued and other current liabilities</w:t>
            </w:r>
          </w:p>
        </w:tc>
        <w:tc>
          <w:tcPr>
            <w:tcW w:w="30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375</w:t>
            </w:r>
          </w:p>
        </w:tc>
        <w:tc>
          <w:tcPr>
            <w:tcW w:w="87"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010" w:type="dxa"/>
            <w:tcBorders/>
            <w:vAlign w:val="bottom"/>
          </w:tcPr>
          <w:p>
            <w:pPr>
              <w:pStyle w:val="TableContents"/>
              <w:bidi w:val="0"/>
              <w:spacing w:before="0" w:after="283"/>
              <w:jc w:val="right"/>
              <w:rPr/>
            </w:pPr>
            <w:r>
              <w:rPr/>
              <w:t>1,229</w:t>
            </w:r>
          </w:p>
        </w:tc>
        <w:tc>
          <w:tcPr>
            <w:tcW w:w="63" w:type="dxa"/>
            <w:tcBorders/>
            <w:vAlign w:val="bottom"/>
          </w:tcPr>
          <w:p>
            <w:pPr>
              <w:pStyle w:val="TableContents"/>
              <w:bidi w:val="0"/>
              <w:spacing w:before="0" w:after="283"/>
              <w:jc w:val="left"/>
              <w:rPr/>
            </w:pPr>
            <w:r>
              <w:rPr/>
              <w:t> </w:t>
            </w:r>
          </w:p>
        </w:tc>
      </w:tr>
      <w:tr>
        <w:trPr/>
        <w:tc>
          <w:tcPr>
            <w:tcW w:w="6990"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007" w:type="dxa"/>
            <w:tcBorders/>
            <w:vAlign w:val="bottom"/>
          </w:tcPr>
          <w:p>
            <w:pPr>
              <w:pStyle w:val="TableContents"/>
              <w:pBdr>
                <w:top w:val="double" w:sz="6"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Transfer of finance lease right-of-use asset to property and equipment, net after finance lease termination</w:t>
            </w:r>
          </w:p>
        </w:tc>
        <w:tc>
          <w:tcPr>
            <w:tcW w:w="30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208</w:t>
            </w:r>
          </w:p>
        </w:tc>
        <w:tc>
          <w:tcPr>
            <w:tcW w:w="87"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010"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6990"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007" w:type="dxa"/>
            <w:tcBorders/>
            <w:vAlign w:val="bottom"/>
          </w:tcPr>
          <w:p>
            <w:pPr>
              <w:pStyle w:val="TableContents"/>
              <w:pBdr>
                <w:top w:val="double" w:sz="6"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90" w:type="dxa"/>
            <w:tcBorders/>
          </w:tcPr>
          <w:p>
            <w:pPr>
              <w:pStyle w:val="TableContents"/>
              <w:bidi w:val="0"/>
              <w:spacing w:before="0" w:after="0"/>
              <w:jc w:val="left"/>
              <w:rPr>
                <w:rFonts w:ascii="Times New Roman" w:hAnsi="Times New Roman"/>
                <w:sz w:val="20"/>
              </w:rPr>
            </w:pPr>
            <w:r>
              <w:rPr>
                <w:rFonts w:ascii="Times New Roman" w:hAnsi="Times New Roman"/>
                <w:sz w:val="20"/>
              </w:rPr>
              <w:t>Vesting of early exercised stock options</w:t>
            </w:r>
          </w:p>
        </w:tc>
        <w:tc>
          <w:tcPr>
            <w:tcW w:w="30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6</w:t>
            </w:r>
          </w:p>
        </w:tc>
        <w:tc>
          <w:tcPr>
            <w:tcW w:w="87"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010"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6990"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007" w:type="dxa"/>
            <w:tcBorders/>
            <w:vAlign w:val="bottom"/>
          </w:tcPr>
          <w:p>
            <w:pPr>
              <w:pStyle w:val="TableContents"/>
              <w:pBdr>
                <w:top w:val="double" w:sz="6"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Right-of-use asset obtained in exchange for operating lease liability</w:t>
            </w:r>
          </w:p>
        </w:tc>
        <w:tc>
          <w:tcPr>
            <w:tcW w:w="30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w:t>
            </w:r>
          </w:p>
        </w:tc>
        <w:tc>
          <w:tcPr>
            <w:tcW w:w="87"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010" w:type="dxa"/>
            <w:tcBorders/>
            <w:shd w:fill="CCEEFF" w:val="clear"/>
            <w:vAlign w:val="bottom"/>
          </w:tcPr>
          <w:p>
            <w:pPr>
              <w:pStyle w:val="TableContents"/>
              <w:bidi w:val="0"/>
              <w:spacing w:before="0" w:after="283"/>
              <w:jc w:val="right"/>
              <w:rPr/>
            </w:pPr>
            <w:r>
              <w:rPr/>
              <w:t>5,771</w:t>
            </w:r>
          </w:p>
        </w:tc>
        <w:tc>
          <w:tcPr>
            <w:tcW w:w="63" w:type="dxa"/>
            <w:tcBorders/>
            <w:shd w:fill="CCEEFF" w:val="clear"/>
            <w:vAlign w:val="bottom"/>
          </w:tcPr>
          <w:p>
            <w:pPr>
              <w:pStyle w:val="TableContents"/>
              <w:bidi w:val="0"/>
              <w:spacing w:before="0" w:after="283"/>
              <w:jc w:val="left"/>
              <w:rPr/>
            </w:pPr>
            <w:r>
              <w:rPr/>
              <w:t> </w:t>
            </w:r>
          </w:p>
        </w:tc>
      </w:tr>
      <w:tr>
        <w:trPr/>
        <w:tc>
          <w:tcPr>
            <w:tcW w:w="6990"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007" w:type="dxa"/>
            <w:tcBorders/>
            <w:vAlign w:val="bottom"/>
          </w:tcPr>
          <w:p>
            <w:pPr>
              <w:pStyle w:val="TableContents"/>
              <w:pBdr>
                <w:top w:val="double" w:sz="6"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90" w:type="dxa"/>
            <w:tcBorders/>
          </w:tcPr>
          <w:p>
            <w:pPr>
              <w:pStyle w:val="TableContents"/>
              <w:bidi w:val="0"/>
              <w:spacing w:before="0" w:after="0"/>
              <w:jc w:val="left"/>
              <w:rPr>
                <w:rFonts w:ascii="Times New Roman" w:hAnsi="Times New Roman"/>
                <w:sz w:val="20"/>
              </w:rPr>
            </w:pPr>
            <w:r>
              <w:rPr>
                <w:rFonts w:ascii="Times New Roman" w:hAnsi="Times New Roman"/>
                <w:sz w:val="20"/>
              </w:rPr>
              <w:t>Settlement of preferred stock tranche liability upon issuance of Series B redeemable convertible preferred stock</w:t>
            </w:r>
          </w:p>
        </w:tc>
        <w:tc>
          <w:tcPr>
            <w:tcW w:w="30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w:t>
            </w:r>
          </w:p>
        </w:tc>
        <w:tc>
          <w:tcPr>
            <w:tcW w:w="87"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010" w:type="dxa"/>
            <w:tcBorders/>
            <w:vAlign w:val="bottom"/>
          </w:tcPr>
          <w:p>
            <w:pPr>
              <w:pStyle w:val="TableContents"/>
              <w:bidi w:val="0"/>
              <w:spacing w:before="0" w:after="283"/>
              <w:jc w:val="right"/>
              <w:rPr/>
            </w:pPr>
            <w:r>
              <w:rPr/>
              <w:t>6,808</w:t>
            </w:r>
          </w:p>
        </w:tc>
        <w:tc>
          <w:tcPr>
            <w:tcW w:w="63" w:type="dxa"/>
            <w:tcBorders/>
            <w:vAlign w:val="bottom"/>
          </w:tcPr>
          <w:p>
            <w:pPr>
              <w:pStyle w:val="TableContents"/>
              <w:bidi w:val="0"/>
              <w:spacing w:before="0" w:after="283"/>
              <w:jc w:val="left"/>
              <w:rPr/>
            </w:pPr>
            <w:r>
              <w:rPr/>
              <w:t> </w:t>
            </w:r>
          </w:p>
        </w:tc>
      </w:tr>
      <w:tr>
        <w:trPr/>
        <w:tc>
          <w:tcPr>
            <w:tcW w:w="6990"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007" w:type="dxa"/>
            <w:tcBorders/>
            <w:vAlign w:val="bottom"/>
          </w:tcPr>
          <w:p>
            <w:pPr>
              <w:pStyle w:val="TableContents"/>
              <w:pBdr>
                <w:top w:val="double" w:sz="6"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Distribution of investment in EndPath RadioTherapeutics, Inc. as in-kind dividend</w:t>
            </w:r>
          </w:p>
        </w:tc>
        <w:tc>
          <w:tcPr>
            <w:tcW w:w="30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w:t>
            </w:r>
          </w:p>
        </w:tc>
        <w:tc>
          <w:tcPr>
            <w:tcW w:w="87"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010" w:type="dxa"/>
            <w:tcBorders/>
            <w:shd w:fill="CCEEFF" w:val="clear"/>
            <w:vAlign w:val="bottom"/>
          </w:tcPr>
          <w:p>
            <w:pPr>
              <w:pStyle w:val="TableContents"/>
              <w:bidi w:val="0"/>
              <w:spacing w:before="0" w:after="283"/>
              <w:jc w:val="right"/>
              <w:rPr/>
            </w:pPr>
            <w:r>
              <w:rPr/>
              <w:t>2,400</w:t>
            </w:r>
          </w:p>
        </w:tc>
        <w:tc>
          <w:tcPr>
            <w:tcW w:w="63" w:type="dxa"/>
            <w:tcBorders/>
            <w:shd w:fill="CCEEFF" w:val="clear"/>
            <w:vAlign w:val="bottom"/>
          </w:tcPr>
          <w:p>
            <w:pPr>
              <w:pStyle w:val="TableContents"/>
              <w:bidi w:val="0"/>
              <w:spacing w:before="0" w:after="283"/>
              <w:jc w:val="left"/>
              <w:rPr/>
            </w:pPr>
            <w:r>
              <w:rPr/>
              <w:t> </w:t>
            </w:r>
          </w:p>
        </w:tc>
      </w:tr>
      <w:tr>
        <w:trPr/>
        <w:tc>
          <w:tcPr>
            <w:tcW w:w="6990"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007" w:type="dxa"/>
            <w:tcBorders/>
            <w:vAlign w:val="bottom"/>
          </w:tcPr>
          <w:p>
            <w:pPr>
              <w:pStyle w:val="TableContents"/>
              <w:pBdr>
                <w:top w:val="double" w:sz="6"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90" w:type="dxa"/>
            <w:tcBorders/>
          </w:tcPr>
          <w:p>
            <w:pPr>
              <w:pStyle w:val="TableContents"/>
              <w:bidi w:val="0"/>
              <w:spacing w:before="0" w:after="0"/>
              <w:jc w:val="left"/>
              <w:rPr>
                <w:rFonts w:ascii="Times New Roman" w:hAnsi="Times New Roman"/>
                <w:b/>
                <w:sz w:val="20"/>
              </w:rPr>
            </w:pPr>
            <w:r>
              <w:rPr>
                <w:rFonts w:ascii="Times New Roman" w:hAnsi="Times New Roman"/>
                <w:b/>
                <w:sz w:val="20"/>
              </w:rPr>
              <w:t>Reconciliation of cash, cash equivalents and restricted cash</w:t>
            </w:r>
          </w:p>
        </w:tc>
        <w:tc>
          <w:tcPr>
            <w:tcW w:w="30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007"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0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30,632</w:t>
            </w:r>
          </w:p>
        </w:tc>
        <w:tc>
          <w:tcPr>
            <w:tcW w:w="87"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010" w:type="dxa"/>
            <w:tcBorders/>
            <w:shd w:fill="CCEEFF" w:val="clear"/>
            <w:vAlign w:val="bottom"/>
          </w:tcPr>
          <w:p>
            <w:pPr>
              <w:pStyle w:val="TableContents"/>
              <w:bidi w:val="0"/>
              <w:spacing w:before="0" w:after="283"/>
              <w:jc w:val="right"/>
              <w:rPr/>
            </w:pPr>
            <w:r>
              <w:rPr/>
              <w:t>40,193</w:t>
            </w:r>
          </w:p>
        </w:tc>
        <w:tc>
          <w:tcPr>
            <w:tcW w:w="63" w:type="dxa"/>
            <w:tcBorders/>
            <w:shd w:fill="CCEEFF" w:val="clear"/>
            <w:vAlign w:val="bottom"/>
          </w:tcPr>
          <w:p>
            <w:pPr>
              <w:pStyle w:val="TableContents"/>
              <w:bidi w:val="0"/>
              <w:spacing w:before="0" w:after="283"/>
              <w:jc w:val="left"/>
              <w:rPr/>
            </w:pPr>
            <w:r>
              <w:rPr/>
              <w:t> </w:t>
            </w:r>
          </w:p>
        </w:tc>
      </w:tr>
      <w:tr>
        <w:trPr/>
        <w:tc>
          <w:tcPr>
            <w:tcW w:w="6990"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0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607</w:t>
            </w:r>
          </w:p>
        </w:tc>
        <w:tc>
          <w:tcPr>
            <w:tcW w:w="87"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404</w:t>
            </w:r>
          </w:p>
        </w:tc>
        <w:tc>
          <w:tcPr>
            <w:tcW w:w="63" w:type="dxa"/>
            <w:tcBorders/>
            <w:vAlign w:val="bottom"/>
          </w:tcPr>
          <w:p>
            <w:pPr>
              <w:pStyle w:val="TableContents"/>
              <w:bidi w:val="0"/>
              <w:spacing w:before="0" w:after="283"/>
              <w:jc w:val="left"/>
              <w:rPr/>
            </w:pPr>
            <w:r>
              <w:rPr/>
              <w:t> </w:t>
            </w:r>
          </w:p>
        </w:tc>
      </w:tr>
      <w:tr>
        <w:trPr/>
        <w:tc>
          <w:tcPr>
            <w:tcW w:w="6990"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007" w:type="dxa"/>
            <w:tcBorders/>
            <w:vAlign w:val="bottom"/>
          </w:tcPr>
          <w:p>
            <w:pPr>
              <w:pStyle w:val="TableContents"/>
              <w:pBdr>
                <w:top w:val="single" w:sz="2"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cash equivalents and restricted cash</w:t>
            </w:r>
          </w:p>
        </w:tc>
        <w:tc>
          <w:tcPr>
            <w:tcW w:w="30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31,239</w:t>
            </w:r>
          </w:p>
        </w:tc>
        <w:tc>
          <w:tcPr>
            <w:tcW w:w="87"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010" w:type="dxa"/>
            <w:tcBorders/>
            <w:shd w:fill="CCEEFF" w:val="clear"/>
            <w:vAlign w:val="bottom"/>
          </w:tcPr>
          <w:p>
            <w:pPr>
              <w:pStyle w:val="TableContents"/>
              <w:bidi w:val="0"/>
              <w:spacing w:before="0" w:after="283"/>
              <w:jc w:val="right"/>
              <w:rPr/>
            </w:pPr>
            <w:r>
              <w:rPr/>
              <w:t>40,597</w:t>
            </w:r>
          </w:p>
        </w:tc>
        <w:tc>
          <w:tcPr>
            <w:tcW w:w="63" w:type="dxa"/>
            <w:tcBorders/>
            <w:shd w:fill="CCEEFF" w:val="clear"/>
            <w:vAlign w:val="bottom"/>
          </w:tcPr>
          <w:p>
            <w:pPr>
              <w:pStyle w:val="TableContents"/>
              <w:bidi w:val="0"/>
              <w:spacing w:before="0" w:after="283"/>
              <w:jc w:val="left"/>
              <w:rPr/>
            </w:pPr>
            <w:r>
              <w:rPr/>
              <w:t> </w:t>
            </w:r>
          </w:p>
        </w:tc>
      </w:tr>
      <w:tr>
        <w:trPr/>
        <w:tc>
          <w:tcPr>
            <w:tcW w:w="6990"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007" w:type="dxa"/>
            <w:tcBorders/>
            <w:vAlign w:val="bottom"/>
          </w:tcPr>
          <w:p>
            <w:pPr>
              <w:pStyle w:val="TableContents"/>
              <w:pBdr>
                <w:top w:val="double" w:sz="6"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bookmarkStart w:id="30" w:name="fin40469_6"/>
      <w:bookmarkEnd w:id="30"/>
      <w:r>
        <w:rPr>
          <w:rFonts w:ascii="Times New Roman" w:hAnsi="Times New Roman"/>
          <w:b/>
          <w:sz w:val="20"/>
        </w:rPr>
        <w:t xml:space="preserve">Notes to Consolidated Financial Statements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w:t>
            </w:r>
          </w:p>
        </w:tc>
        <w:tc>
          <w:tcPr>
            <w:tcW w:w="9799"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Organization and Nature of the Business </w:t>
            </w:r>
          </w:p>
        </w:tc>
      </w:tr>
    </w:tbl>
    <w:p>
      <w:pPr>
        <w:pStyle w:val="TextBody"/>
        <w:bidi w:val="0"/>
        <w:spacing w:before="120" w:after="0"/>
        <w:jc w:val="both"/>
        <w:rPr>
          <w:rFonts w:ascii="Times New Roman" w:hAnsi="Times New Roman"/>
          <w:sz w:val="20"/>
        </w:rPr>
      </w:pPr>
      <w:r>
        <w:rPr>
          <w:rFonts w:ascii="Times New Roman" w:hAnsi="Times New Roman"/>
          <w:sz w:val="20"/>
        </w:rPr>
        <w:t xml:space="preserve">Attovia Therapeutics, Inc. (the “Company”) is a clinical stage biotechnology company headquartered in San Carlos, California and focused on research and development of therapeutic products in the fields of immune-mediated diseases. The Company was incorporated in the State of Delaware on December 16, 2022 and subsequently commenced principal operations in June 2023. </w:t>
      </w:r>
    </w:p>
    <w:p>
      <w:pPr>
        <w:pStyle w:val="TextBody"/>
        <w:bidi w:val="0"/>
        <w:spacing w:before="120" w:after="0"/>
        <w:jc w:val="both"/>
        <w:rPr>
          <w:rFonts w:ascii="Times New Roman" w:hAnsi="Times New Roman"/>
          <w:sz w:val="20"/>
        </w:rPr>
      </w:pPr>
      <w:r>
        <w:rPr>
          <w:rFonts w:ascii="Times New Roman" w:hAnsi="Times New Roman"/>
          <w:sz w:val="20"/>
        </w:rPr>
        <w:t xml:space="preserve">As of December 31, 2025, the Company had two wholly owned subsidiaries, Attovia Therapeutics Cayman Co., Ltd., an exempted company incorporated in the Cayman Islands with limited liability in July 2025, and Attovia Therapeutics (Shanghai) Co., Ltd., a limited liability company incorporated in the People’s Republic of China in October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w:t>
      </w:r>
    </w:p>
    <w:p>
      <w:pPr>
        <w:pStyle w:val="TextBody"/>
        <w:bidi w:val="0"/>
        <w:spacing w:before="120" w:after="0"/>
        <w:jc w:val="both"/>
        <w:rPr>
          <w:rFonts w:ascii="Times New Roman" w:hAnsi="Times New Roman"/>
          <w:sz w:val="20"/>
        </w:rPr>
      </w:pPr>
      <w:r>
        <w:rPr>
          <w:rFonts w:ascii="Times New Roman" w:hAnsi="Times New Roman"/>
          <w:sz w:val="20"/>
        </w:rPr>
        <w:t xml:space="preserve">The Company has incurred significant net operating losses and negative cash flows from operations since inception and had an accumulated deficit of $111.0 million as of December 31, 2025. The Company has historically financed its operations primarily through the private placements of equity securities. To date, the Company has no product candidates approved for sale and therefore the Company has not generated any revenue from product sales. Management expects operating losses and negative cash flows to continue for the foreseeable future, until such time that it can generate significant sales of its product candidates currently in development or through collaboration or other agreements. The Company’s prospects are subject to risks, expenses and uncertainties frequently encountered by companies in the biotechnology industry as discussed in Note 2. While the Company has been able to raise financing, there can be no assurance that in the event the Company requires additional financing, such financing will be available on terms which are favorable or at all. Failure to generate sufficient cash flows from operations, raise additional capital or reduce certain discretionary spending would have a material adverse effect on the Company’s ability to achieve its intended business objectives. </w:t>
      </w:r>
    </w:p>
    <w:p>
      <w:pPr>
        <w:pStyle w:val="TextBody"/>
        <w:bidi w:val="0"/>
        <w:spacing w:before="120" w:after="0"/>
        <w:jc w:val="both"/>
        <w:rPr>
          <w:rFonts w:ascii="Times New Roman" w:hAnsi="Times New Roman"/>
          <w:sz w:val="20"/>
        </w:rPr>
      </w:pPr>
      <w:r>
        <w:rPr>
          <w:rFonts w:ascii="Times New Roman" w:hAnsi="Times New Roman"/>
          <w:sz w:val="20"/>
        </w:rPr>
        <w:t xml:space="preserve">As of December 31, 2025, the Company had cash, cash equivalents and marketable securities of $152.3 million, which management believes will be sufficient to fund the Company’s planned operations for at least 12 months from the date these consolidated financial statements are available to be issued.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w:t>
            </w:r>
          </w:p>
        </w:tc>
        <w:tc>
          <w:tcPr>
            <w:tcW w:w="9797"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both"/>
        <w:rPr>
          <w:rFonts w:ascii="Times New Roman" w:hAnsi="Times New Roman"/>
          <w:sz w:val="20"/>
        </w:rPr>
      </w:pPr>
      <w:r>
        <w:rPr>
          <w:rFonts w:ascii="Times New Roman" w:hAnsi="Times New Roman"/>
          <w:sz w:val="20"/>
        </w:rPr>
        <w:t xml:space="preserve">The consolidated financial statements and related disclosures have been prepared in conformity with accounting principles generally accepted in the United States of America (“U.S. GAAP”). </w:t>
      </w:r>
    </w:p>
    <w:p>
      <w:pPr>
        <w:pStyle w:val="TextBody"/>
        <w:bidi w:val="0"/>
        <w:spacing w:before="120" w:after="0"/>
        <w:jc w:val="both"/>
        <w:rPr>
          <w:rFonts w:ascii="Times New Roman" w:hAnsi="Times New Roman"/>
          <w:sz w:val="20"/>
        </w:rPr>
      </w:pPr>
      <w:r>
        <w:rPr>
          <w:rFonts w:ascii="Times New Roman" w:hAnsi="Times New Roman"/>
          <w:sz w:val="20"/>
        </w:rPr>
        <w:t xml:space="preserve">The Company’s consolidated financial statements include the accounts of its subsidiaries, and all intercompany transactions were eliminated upon consolidation. Prior to July 2025, the Company had no subsidiaries.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both"/>
        <w:rPr>
          <w:rFonts w:ascii="Times New Roman" w:hAnsi="Times New Roman"/>
          <w:sz w:val="20"/>
        </w:rPr>
      </w:pPr>
      <w:r>
        <w:rPr>
          <w:rFonts w:ascii="Times New Roman" w:hAnsi="Times New Roman"/>
          <w:sz w:val="20"/>
        </w:rPr>
        <w:t xml:space="preserve">The preparation of financial statements in conformity with U.S. GAAP requires management to make estimates and assumptions that affect the reported amounts of assets and liabilities and disclosures of contingent assets and liabilities at the date of the financial statements as well as the reported amounts of revenues and expenses during the reporting period. Such estimates include the fair value of marketable securities, the fair values of preferred stock tranche liabilities, the fair value of common stock, valuation of deferred tax assets, incremental borrowing rate for leases, accruals for research and development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and stock-based compensation.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Segments </w:t>
      </w:r>
    </w:p>
    <w:p>
      <w:pPr>
        <w:pStyle w:val="TextBody"/>
        <w:bidi w:val="0"/>
        <w:spacing w:before="120" w:after="0"/>
        <w:jc w:val="both"/>
        <w:rPr>
          <w:rFonts w:ascii="Times New Roman" w:hAnsi="Times New Roman"/>
          <w:sz w:val="20"/>
        </w:rPr>
      </w:pPr>
      <w:r>
        <w:rPr>
          <w:rFonts w:ascii="Times New Roman" w:hAnsi="Times New Roman"/>
          <w:sz w:val="20"/>
        </w:rPr>
        <w:t xml:space="preserve">Operating segments are defined as components of an entity for which separate financial information is available and regularly utilized by the Chief Operating Decision Maker (“CODM”) to assess the Company’s performance for capital and resource allocation decisions. The Company’s CODM is its Chief Executive Officer, who reviews such financial information on an aggregate company-level basis (see Note 15). The Company has determined it operates as a single operating segment and has one reportable segment, which is the research and development of therapeutic products in the fields of immune-mediated diseases. Revenue is generated exclusively from transactions with a party located in the United States. All long-lived assets are maintained in the United States of America.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 of Credit Risk and of Significant Suppliers </w:t>
      </w:r>
    </w:p>
    <w:p>
      <w:pPr>
        <w:pStyle w:val="TextBody"/>
        <w:bidi w:val="0"/>
        <w:spacing w:before="120" w:after="0"/>
        <w:jc w:val="both"/>
        <w:rPr>
          <w:rFonts w:ascii="Times New Roman" w:hAnsi="Times New Roman"/>
          <w:sz w:val="20"/>
        </w:rPr>
      </w:pPr>
      <w:r>
        <w:rPr>
          <w:rFonts w:ascii="Times New Roman" w:hAnsi="Times New Roman"/>
          <w:sz w:val="20"/>
        </w:rPr>
        <w:t xml:space="preserve">Financial instruments which potentially subject the Company to concentration of credit risk consist primarily of cash and cash equivalents, marketable securities and restricted cash. The Company is exposed to credit risk from its deposits of cash and cash equivalents in excess of amounts insured by the Federal Deposit Insurance Corporation (“FDIC”). The Company has not experienced any losses on its deposits of cash and cash equivalents in 2024 and 2025. </w:t>
      </w:r>
    </w:p>
    <w:p>
      <w:pPr>
        <w:pStyle w:val="TextBody"/>
        <w:bidi w:val="0"/>
        <w:spacing w:before="120" w:after="0"/>
        <w:jc w:val="both"/>
        <w:rPr>
          <w:rFonts w:ascii="Times New Roman" w:hAnsi="Times New Roman"/>
          <w:sz w:val="20"/>
        </w:rPr>
      </w:pPr>
      <w:r>
        <w:rPr>
          <w:rFonts w:ascii="Times New Roman" w:hAnsi="Times New Roman"/>
          <w:sz w:val="20"/>
        </w:rPr>
        <w:t xml:space="preserve">The Company invests in money market funds, U.S. Treasury bills and notes, and other short-term fixed income securities which can be subject to certain credit risks. The Company mitigates these risks by investing in high-grade instruments, limiting its exposure to any one issuer and monitoring the ongoing creditworthiness of the financial institutions and issuers. The Company has not experienced any losses on its financial instruments. </w:t>
      </w:r>
    </w:p>
    <w:p>
      <w:pPr>
        <w:pStyle w:val="TextBody"/>
        <w:bidi w:val="0"/>
        <w:spacing w:before="120" w:after="0"/>
        <w:jc w:val="both"/>
        <w:rPr>
          <w:rFonts w:ascii="Times New Roman" w:hAnsi="Times New Roman"/>
          <w:sz w:val="20"/>
        </w:rPr>
      </w:pPr>
      <w:r>
        <w:rPr>
          <w:rFonts w:ascii="Times New Roman" w:hAnsi="Times New Roman"/>
          <w:sz w:val="20"/>
        </w:rPr>
        <w:t xml:space="preserve">The Company is dependent on third-party manufacturers to supply materials for research and development activities for the Company’s pipeline products, including preclinical and clinical studies and testing, and manufacturing activities. In particular, the Company relies on a small number of manufacturers for the supply of drug substance and drug product materials for its clinical assets. The Company’s preclinical and clinical studies and testing and manufacturing activities could be adversely affected by a significant interruption in the supply of materials from its suppliers. Two vendors representing 10% or more of the Company’s total purchases accounted for 46% and 40% of total purchases for the years ended December 31, 2024 and 2025,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and Uncertainties </w:t>
      </w:r>
    </w:p>
    <w:p>
      <w:pPr>
        <w:pStyle w:val="TextBody"/>
        <w:bidi w:val="0"/>
        <w:spacing w:before="120" w:after="0"/>
        <w:jc w:val="both"/>
        <w:rPr>
          <w:rFonts w:ascii="Times New Roman" w:hAnsi="Times New Roman"/>
          <w:sz w:val="20"/>
        </w:rPr>
      </w:pPr>
      <w:r>
        <w:rPr>
          <w:rFonts w:ascii="Times New Roman" w:hAnsi="Times New Roman"/>
          <w:sz w:val="20"/>
        </w:rPr>
        <w:t xml:space="preserve">The Company is subject to risks and uncertainties common to early-stage companies in the biotechnology industry, including, but not limited to, development by competitors of new technological innovations, protection of proprietary technology, dependence on key personnel, compliance with government regulations and the need to obtain additional financing to fund operations. Product candidates currently under development will require significant additional research and development efforts, including extensive preclinical studies, clinical trials and regulatory approval, prior to commercialization. These efforts require significant amounts of additional capital, adequate personnel, infrastructure and extensive compliance and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Company’s product candidates are still in either preclinical or clinical development and, to date, none of the Company’s product candidates have been approved for sale and, therefore, the Company has not generated any revenue from product sales. </w:t>
      </w:r>
    </w:p>
    <w:p>
      <w:pPr>
        <w:pStyle w:val="TextBody"/>
        <w:bidi w:val="0"/>
        <w:spacing w:before="120" w:after="0"/>
        <w:jc w:val="both"/>
        <w:rPr>
          <w:rFonts w:ascii="Times New Roman" w:hAnsi="Times New Roman"/>
          <w:sz w:val="20"/>
        </w:rPr>
      </w:pPr>
      <w:r>
        <w:rPr>
          <w:rFonts w:ascii="Times New Roman" w:hAnsi="Times New Roman"/>
          <w:sz w:val="20"/>
        </w:rPr>
        <w:t xml:space="preserve">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revenue from product sales. The Company operates in an environment of rapid change in technology and substantial competition from other pharmaceutical and biotechnology companies. In addition, the Company is dependent upon the services of its employees, consultants and other third parties.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and Cash Equivalents </w:t>
      </w:r>
    </w:p>
    <w:p>
      <w:pPr>
        <w:pStyle w:val="TextBody"/>
        <w:bidi w:val="0"/>
        <w:spacing w:before="120" w:after="0"/>
        <w:jc w:val="both"/>
        <w:rPr>
          <w:rFonts w:ascii="Times New Roman" w:hAnsi="Times New Roman"/>
          <w:sz w:val="20"/>
        </w:rPr>
      </w:pPr>
      <w:r>
        <w:rPr>
          <w:rFonts w:ascii="Times New Roman" w:hAnsi="Times New Roman"/>
          <w:sz w:val="20"/>
        </w:rPr>
        <w:t xml:space="preserve">The Company considers all highly liquid investments purchased with original maturities of three months or less from the purchase date to be cash equivalents. As of December 31, 2024 and 2025, cash and cash equivalents consisted of cash held in bank accounts, investments in money market funds and U.S. Treasury bills.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Cash </w:t>
      </w:r>
    </w:p>
    <w:p>
      <w:pPr>
        <w:pStyle w:val="TextBody"/>
        <w:bidi w:val="0"/>
        <w:spacing w:before="120" w:after="0"/>
        <w:jc w:val="both"/>
        <w:rPr>
          <w:rFonts w:ascii="Times New Roman" w:hAnsi="Times New Roman"/>
          <w:sz w:val="20"/>
        </w:rPr>
      </w:pPr>
      <w:r>
        <w:rPr>
          <w:rFonts w:ascii="Times New Roman" w:hAnsi="Times New Roman"/>
          <w:sz w:val="20"/>
        </w:rPr>
        <w:t xml:space="preserve">Restricted cash consists of cash that is restricted as to withdrawal or use in a form of bank’s outstanding letter of credit in connection with the lease of office, laboratory and storage spaces in San Carlos, California. </w:t>
      </w:r>
    </w:p>
    <w:p>
      <w:pPr>
        <w:pStyle w:val="TextBody"/>
        <w:bidi w:val="0"/>
        <w:spacing w:before="360" w:after="0"/>
        <w:jc w:val="left"/>
        <w:rPr>
          <w:rFonts w:ascii="Times New Roman" w:hAnsi="Times New Roman"/>
          <w:b/>
          <w:i/>
          <w:sz w:val="20"/>
        </w:rPr>
      </w:pPr>
      <w:r>
        <w:rPr>
          <w:rFonts w:ascii="Times New Roman" w:hAnsi="Times New Roman"/>
          <w:b/>
          <w:i/>
          <w:sz w:val="20"/>
        </w:rPr>
        <w:t xml:space="preserve">Marketable Securities </w:t>
      </w:r>
    </w:p>
    <w:p>
      <w:pPr>
        <w:pStyle w:val="TextBody"/>
        <w:bidi w:val="0"/>
        <w:spacing w:before="120" w:after="0"/>
        <w:jc w:val="both"/>
        <w:rPr>
          <w:rFonts w:ascii="Times New Roman" w:hAnsi="Times New Roman"/>
          <w:sz w:val="20"/>
        </w:rPr>
      </w:pPr>
      <w:r>
        <w:rPr>
          <w:rFonts w:ascii="Times New Roman" w:hAnsi="Times New Roman"/>
          <w:sz w:val="20"/>
        </w:rPr>
        <w:t xml:space="preserve">Marketable securities consist of U.S. Treasury bills and U.S. Treasury notes. As the Company’s entire investment portfolio is considered available for use in current operations and consists of maturities shorter than 12 months, the Company classifies all investments as available-for-sale and as current assets. </w:t>
      </w:r>
    </w:p>
    <w:p>
      <w:pPr>
        <w:pStyle w:val="TextBody"/>
        <w:bidi w:val="0"/>
        <w:spacing w:before="120" w:after="0"/>
        <w:jc w:val="both"/>
        <w:rPr>
          <w:rFonts w:ascii="Times New Roman" w:hAnsi="Times New Roman"/>
          <w:sz w:val="20"/>
        </w:rPr>
      </w:pPr>
      <w:r>
        <w:rPr>
          <w:rFonts w:ascii="Times New Roman" w:hAnsi="Times New Roman"/>
          <w:sz w:val="20"/>
        </w:rPr>
        <w:t xml:space="preserve">The amortized cost of marketable securities is adjusted for amortization of premiums and accretion of discounts to maturity, which is included in interest income on the consolidated statements of operations and comprehensive loss. </w:t>
      </w:r>
    </w:p>
    <w:p>
      <w:pPr>
        <w:pStyle w:val="TextBody"/>
        <w:bidi w:val="0"/>
        <w:spacing w:before="120" w:after="0"/>
        <w:jc w:val="both"/>
        <w:rPr>
          <w:rFonts w:ascii="Times New Roman" w:hAnsi="Times New Roman"/>
          <w:sz w:val="20"/>
        </w:rPr>
      </w:pPr>
      <w:r>
        <w:rPr>
          <w:rFonts w:ascii="Times New Roman" w:hAnsi="Times New Roman"/>
          <w:sz w:val="20"/>
        </w:rPr>
        <w:t xml:space="preserve">Marketable securities are carried at fair value, with change in fair value reported as unrealized gains or losses in accumulated other comprehensive income, which is a separate component of stockholders’ deficit on the consolidated balance sheets. Realized gains and losses on the sale of securities are determined by specific identification of each security’s cost basis. The Company regularly reviews its investment portfolio to determine if any security is impaired, which would require it to record an allowance for credit losses in the period any such determination is made. In making this judgment, the Company evaluates, among other things, the extent to which the fair value of a security is less than its amortized cost, its intent to sell or whether it is more likely than not that the Company will be required to sell the security before recovery of its amortized cost basis, the financial condition of the issuer and any changes thereto, and, as necessary, the portion of a decline in fair value that is credit-related. The Company did not record any credit losses in any of the financial periods presented. This assessment could change in the future due to new developments or changes in assumptions related to any particular security. Realized gains and losses, allowances for credit losses on available-for-sale securities, if any, are recorded on the consolidated statements of operations and comprehensive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Equity Method Investments </w:t>
      </w:r>
    </w:p>
    <w:p>
      <w:pPr>
        <w:pStyle w:val="TextBody"/>
        <w:bidi w:val="0"/>
        <w:spacing w:before="120" w:after="0"/>
        <w:jc w:val="both"/>
        <w:rPr>
          <w:rFonts w:ascii="Times New Roman" w:hAnsi="Times New Roman"/>
          <w:sz w:val="20"/>
        </w:rPr>
      </w:pPr>
      <w:r>
        <w:rPr>
          <w:rFonts w:ascii="Times New Roman" w:hAnsi="Times New Roman"/>
          <w:sz w:val="20"/>
        </w:rPr>
        <w:t xml:space="preserve">The Company utilizes the equity method to account for its investments in common stock, or in-substance common stock, when it possesses the ability to exercise significant influence, but not control, over the operating and financial policies of the investee. The Company uses judgment when determining the level of influence over the operating and financial policies of the investee considering key factors including, among others, the Company’s ownership interest, representation on the board of directors, participation in policy-making decisions and material contractual arrangements and obligations. Income and losses are allocated based upon relative ownership interest unless there is a substantive profit-sharing agreement in place. </w:t>
      </w:r>
    </w:p>
    <w:p>
      <w:pPr>
        <w:pStyle w:val="TextBody"/>
        <w:bidi w:val="0"/>
        <w:spacing w:before="240" w:after="0"/>
        <w:jc w:val="both"/>
        <w:rPr>
          <w:rFonts w:ascii="Times New Roman" w:hAnsi="Times New Roman"/>
          <w:sz w:val="20"/>
        </w:rPr>
      </w:pPr>
      <w:r>
        <w:rPr>
          <w:rFonts w:ascii="Times New Roman" w:hAnsi="Times New Roman"/>
          <w:sz w:val="20"/>
        </w:rPr>
        <w:t xml:space="preserve">The Company may elect the fair value option for its equity method investments on an investment-by-investment basis. For all equity method investments accounted for under the fair value option, the Company carries the equity method investment at fair value and records all subsequent changes in fair value as a component of other income (expense), net on the consolidated statements of operations and comprehensive loss. As of December 31, 2024 and 2025, the Company had no equity method investments.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of Financial Instruments </w:t>
      </w:r>
    </w:p>
    <w:p>
      <w:pPr>
        <w:pStyle w:val="TextBody"/>
        <w:bidi w:val="0"/>
        <w:spacing w:before="120" w:after="0"/>
        <w:jc w:val="both"/>
        <w:rPr>
          <w:rFonts w:ascii="Times New Roman" w:hAnsi="Times New Roman"/>
          <w:sz w:val="20"/>
        </w:rPr>
      </w:pPr>
      <w:r>
        <w:rPr>
          <w:rFonts w:ascii="Times New Roman" w:hAnsi="Times New Roman"/>
          <w:sz w:val="20"/>
        </w:rPr>
        <w:t xml:space="preserve">The Company established the fair value of its assets and liabilities using the price that would be received to sell an asset or amount paid to transfer a liability in an orderly transaction between market participants at the measurement date and established a fair value hierarchy based on the inputs used to measure fair value. </w:t>
      </w:r>
    </w:p>
    <w:p>
      <w:pPr>
        <w:pStyle w:val="TextBody"/>
        <w:bidi w:val="0"/>
        <w:spacing w:before="120" w:after="0"/>
        <w:jc w:val="both"/>
        <w:rPr>
          <w:rFonts w:ascii="Times New Roman" w:hAnsi="Times New Roman"/>
          <w:sz w:val="20"/>
        </w:rPr>
      </w:pPr>
      <w:r>
        <w:rPr>
          <w:rFonts w:ascii="Times New Roman" w:hAnsi="Times New Roman"/>
          <w:sz w:val="20"/>
        </w:rPr>
        <w:t xml:space="preserve">Cash, accounts payable and accrued expenses and other current liabilities are carried at cost, which approximates fair value due to their relatively short maturities. Financial instruments, such as money market funds, marketable securities and preferred stock tranche liabilities are carried at fair value (see Note 3).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Deferred Offering Costs </w:t>
      </w:r>
    </w:p>
    <w:p>
      <w:pPr>
        <w:pStyle w:val="TextBody"/>
        <w:bidi w:val="0"/>
        <w:spacing w:before="120" w:after="0"/>
        <w:jc w:val="both"/>
        <w:rPr>
          <w:rFonts w:ascii="Times New Roman" w:hAnsi="Times New Roman"/>
          <w:sz w:val="20"/>
        </w:rPr>
      </w:pPr>
      <w:r>
        <w:rPr>
          <w:rFonts w:ascii="Times New Roman" w:hAnsi="Times New Roman"/>
          <w:sz w:val="20"/>
        </w:rPr>
        <w:t xml:space="preserve">Deferred offering costs, consisting of legal, accounting and other third-party fees directly relating to in-process equity financings or offerings are capitalized. The deferred offering costs will be offset against offering proceeds upon the completion of the financing or the offering. In the event the financing or the offering is terminated or postponed, deferred offering costs will be expensed immediately as a charge to general and administrative expenses on the consolidated statements of operations and comprehensive loss. As of December 31, 2024 and 2025, deferred offering costs of $0.4 million and $1.2 million, respectively, were capitalized and recorded as non-current assets on the consolidated balance sheets.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Property and Equipment, Net </w:t>
      </w:r>
    </w:p>
    <w:p>
      <w:pPr>
        <w:pStyle w:val="TextBody"/>
        <w:bidi w:val="0"/>
        <w:spacing w:before="120" w:after="0"/>
        <w:jc w:val="both"/>
        <w:rPr>
          <w:rFonts w:ascii="Times New Roman" w:hAnsi="Times New Roman"/>
          <w:sz w:val="20"/>
        </w:rPr>
      </w:pPr>
      <w:r>
        <w:rPr>
          <w:rFonts w:ascii="Times New Roman" w:hAnsi="Times New Roman"/>
          <w:sz w:val="20"/>
        </w:rPr>
        <w:t xml:space="preserve">Property and equipment, net is stated at cost less accumulated depreciation and amortization. Depreciation and amortization begin at the time the asset is placed in service. Depreciation and amortization are calculated using the straight-line method over the estimated useful lives of the assets. When assets are retired or otherwise disposed of, the cost and accumulated depreciation and amortization are removed from the consolidated balance sheets, and any resulting gain or loss is reflected on the consolidated statements of operations and comprehensive loss in the period realized. Maintenance and repairs are expensed as incurred.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Long-Lived Assets </w:t>
      </w:r>
    </w:p>
    <w:p>
      <w:pPr>
        <w:pStyle w:val="TextBody"/>
        <w:bidi w:val="0"/>
        <w:spacing w:before="120" w:after="0"/>
        <w:jc w:val="both"/>
        <w:rPr>
          <w:rFonts w:ascii="Times New Roman" w:hAnsi="Times New Roman"/>
          <w:sz w:val="20"/>
        </w:rPr>
      </w:pPr>
      <w:r>
        <w:rPr>
          <w:rFonts w:ascii="Times New Roman" w:hAnsi="Times New Roman"/>
          <w:sz w:val="20"/>
        </w:rPr>
        <w:t xml:space="preserve">Long-lived assets consist primarily of property and equipment, net, and are reviewed for impairment whenever events or changes in circumstances indicate that the carrying amount of an asset may not be recoverable. Recoverability is measured by comparison of the carrying amount to the estimated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undiscounted future cash flows, which the assets or asset groups are expected to generate. If the carrying amount of the long-lived asset is not recoverable on an undiscounted cash flow basis, an impairment is recognized to the extent that the carrying amount exceeds its fair value. The Company did not record any impairment of long-lived assets during the years ended December 31, 2024 and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Asset Acquisitions and Acquired In-Process Research and Development Expenses </w:t>
      </w:r>
    </w:p>
    <w:p>
      <w:pPr>
        <w:pStyle w:val="TextBody"/>
        <w:bidi w:val="0"/>
        <w:spacing w:before="120" w:after="0"/>
        <w:jc w:val="both"/>
        <w:rPr>
          <w:rFonts w:ascii="Times New Roman" w:hAnsi="Times New Roman"/>
          <w:sz w:val="20"/>
        </w:rPr>
      </w:pPr>
      <w:r>
        <w:rPr>
          <w:rFonts w:ascii="Times New Roman" w:hAnsi="Times New Roman"/>
          <w:sz w:val="20"/>
        </w:rPr>
        <w:t xml:space="preserve">The Company measures and recognizes asset acquisitions that are not deemed to be business combinations based on the cost to acquire the asset or group of assets, which includes transaction costs. </w:t>
      </w:r>
    </w:p>
    <w:p>
      <w:pPr>
        <w:pStyle w:val="TextBody"/>
        <w:bidi w:val="0"/>
        <w:spacing w:before="120" w:after="0"/>
        <w:jc w:val="both"/>
        <w:rPr>
          <w:rFonts w:ascii="Times New Roman" w:hAnsi="Times New Roman"/>
          <w:sz w:val="20"/>
        </w:rPr>
      </w:pPr>
      <w:r>
        <w:rPr>
          <w:rFonts w:ascii="Times New Roman" w:hAnsi="Times New Roman"/>
          <w:sz w:val="20"/>
        </w:rPr>
        <w:t xml:space="preserve">In determining whether an acquisition represents an asset acquisition, the Company first assesses whether substantially all of the fair value of the gross assets acquired is concentrated in a single identifiable asset or group of similar identifiable assets. If so, the transaction is accounted for as an asset acquisition and no further assessment is performed. If substantially all of the fair value is not concentrated in a single asset or group of similar assets, the Company then assesses whether the Company acquired a substantive process capable of significantly contributing to the Company’s ability to create outputs. </w:t>
      </w:r>
    </w:p>
    <w:p>
      <w:pPr>
        <w:pStyle w:val="TextBody"/>
        <w:bidi w:val="0"/>
        <w:spacing w:before="120" w:after="0"/>
        <w:jc w:val="both"/>
        <w:rPr>
          <w:rFonts w:ascii="Times New Roman" w:hAnsi="Times New Roman"/>
          <w:sz w:val="20"/>
        </w:rPr>
      </w:pPr>
      <w:r>
        <w:rPr>
          <w:rFonts w:ascii="Times New Roman" w:hAnsi="Times New Roman"/>
          <w:sz w:val="20"/>
        </w:rPr>
        <w:t xml:space="preserve">Goodwill is not recognized in asset acquisitions. If acquired in-process technology assets, including licenses, know-how and patents are determined to not have an alternative future use, the cost is charged to research and development expenses at the acquisition date. </w:t>
      </w:r>
    </w:p>
    <w:p>
      <w:pPr>
        <w:pStyle w:val="TextBody"/>
        <w:bidi w:val="0"/>
        <w:spacing w:before="120" w:after="0"/>
        <w:jc w:val="both"/>
        <w:rPr>
          <w:rFonts w:ascii="Times New Roman" w:hAnsi="Times New Roman"/>
          <w:sz w:val="20"/>
        </w:rPr>
      </w:pPr>
      <w:r>
        <w:rPr>
          <w:rFonts w:ascii="Times New Roman" w:hAnsi="Times New Roman"/>
          <w:sz w:val="20"/>
        </w:rPr>
        <w:t>The Company accounts for contingent consideration identified in an asset acquisition that does not meet the definition of a derivative under Accounting Standards Codification (“ASC”) 815, </w:t>
      </w:r>
      <w:r>
        <w:rPr>
          <w:rFonts w:ascii="Times New Roman" w:hAnsi="Times New Roman"/>
          <w:i/>
          <w:sz w:val="20"/>
        </w:rPr>
        <w:t>Derivatives and Hedging</w:t>
      </w:r>
      <w:r>
        <w:rPr>
          <w:rFonts w:ascii="Times New Roman" w:hAnsi="Times New Roman"/>
          <w:sz w:val="20"/>
        </w:rPr>
        <w:t xml:space="preserve">, when the payment becomes probable and reasonably estimable. Such amounts are expensed or capitalized based on the nature of the associated asset at the date the related contingency is recognized.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both"/>
        <w:rPr>
          <w:rFonts w:ascii="Times New Roman" w:hAnsi="Times New Roman"/>
          <w:sz w:val="20"/>
        </w:rPr>
      </w:pPr>
      <w:r>
        <w:rPr>
          <w:rFonts w:ascii="Times New Roman" w:hAnsi="Times New Roman"/>
          <w:sz w:val="20"/>
        </w:rPr>
        <w:t xml:space="preserve">Research and development expenses include costs directly attributable to the conduct of research and development programs, including compensation and benefits for research and development employees (including stock-based compensation), payments under licensing and research and development agreements, costs for contract research organizations (“CROs”), materials, supplies, consulting costs, and the allocated portions of facility costs, such as rent, utilities, insurance, information technology costs and general support services. Research and development costs are expensed within the consolidated statements of operations and comprehensive loss as incurred.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Accrued Research and Development Expenses </w:t>
      </w:r>
    </w:p>
    <w:p>
      <w:pPr>
        <w:pStyle w:val="TextBody"/>
        <w:bidi w:val="0"/>
        <w:spacing w:before="120" w:after="0"/>
        <w:jc w:val="both"/>
        <w:rPr>
          <w:rFonts w:ascii="Times New Roman" w:hAnsi="Times New Roman"/>
          <w:sz w:val="20"/>
        </w:rPr>
      </w:pPr>
      <w:r>
        <w:rPr>
          <w:rFonts w:ascii="Times New Roman" w:hAnsi="Times New Roman"/>
          <w:sz w:val="20"/>
        </w:rPr>
        <w:t xml:space="preserve">The Company has entered into various contract research and development agreements. The Company’s research and development accruals are estimated based on the level of services performed, progress of the studies, including the phase or completion of events, and contracted costs. The estimated costs of research and development provided, but not yet invoiced, are included in accrued expenses and other current liabilities on the consolidated balance sheets. If the actual timing of the performance of services or the level of effort varies from the original estimates, the Company will adjust the accrual accordingly. Payments made under these arrangements in advance of the performance of the related services are recorded as prepaid expenses and other current assets on the consolidated balance sheets until the services are rendered.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both"/>
        <w:rPr>
          <w:rFonts w:ascii="Times New Roman" w:hAnsi="Times New Roman"/>
          <w:sz w:val="20"/>
        </w:rPr>
      </w:pPr>
      <w:r>
        <w:rPr>
          <w:rFonts w:ascii="Times New Roman" w:hAnsi="Times New Roman"/>
          <w:sz w:val="20"/>
        </w:rPr>
        <w:t xml:space="preserve">The Company determines if an arrangement is, or contains, a lease at inception and then classifies such lease as either an operating lease or finance lease based on the underlying terms and conditions of the contract. Leases with terms greater than one year are initially recognized on the consolidated balance sheets as right-of-use assets and lease liabilities based on the present value of lease payments over the expected lease term. Operating lease right-of-use assets are based on the corresponding lease liability adjusted for (i) payments made at or before the commencement date, (ii) initial direct costs incurred, and (iii) tenant incentives under the lease. The Company has elected not to apply the recognition requirements to any leases with a term of 12 months or less and which do not include any options to purchase the underlying assets that the Company is reasonably certain to exercise. As the implicit rate for the operating leases is not readily determinable, the Company uses its incremental borrowing rate in determining the present value of future payments. The incremental borrowing rate is derived from information available at the lease commencement date and represents the rate of interest that a lessee would have to pay to borrow an amount equal to the lease payments on a collateralized basis over a similar term in a similar economic environment. </w:t>
      </w:r>
    </w:p>
    <w:p>
      <w:pPr>
        <w:pStyle w:val="TextBody"/>
        <w:bidi w:val="0"/>
        <w:spacing w:before="120" w:after="0"/>
        <w:jc w:val="both"/>
        <w:rPr>
          <w:rFonts w:ascii="Times New Roman" w:hAnsi="Times New Roman"/>
          <w:sz w:val="20"/>
        </w:rPr>
      </w:pPr>
      <w:r>
        <w:rPr>
          <w:rFonts w:ascii="Times New Roman" w:hAnsi="Times New Roman"/>
          <w:sz w:val="20"/>
        </w:rPr>
        <w:t xml:space="preserve">The Company considers the lease term to be the noncancelable period that it has the right to use the underlying asset, together with any extension periods for which the option to exercise is considered reasonably certain. </w:t>
      </w:r>
    </w:p>
    <w:p>
      <w:pPr>
        <w:pStyle w:val="TextBody"/>
        <w:bidi w:val="0"/>
        <w:spacing w:before="120" w:after="0"/>
        <w:jc w:val="both"/>
        <w:rPr>
          <w:rFonts w:ascii="Times New Roman" w:hAnsi="Times New Roman"/>
          <w:sz w:val="20"/>
        </w:rPr>
      </w:pPr>
      <w:r>
        <w:rPr>
          <w:rFonts w:ascii="Times New Roman" w:hAnsi="Times New Roman"/>
          <w:sz w:val="20"/>
        </w:rPr>
        <w:t xml:space="preserve">Rent expense for operating leases is recognized on a straight-line basis over the lease term and is presented on the consolidated statements of operations and comprehensive loss. Variable lease payments are excluded from the right-of-use assets and operating lease liabilities and are recognized in the period in which the obligation for those payments is incurred. The Company elected the practical expedient not to separate non-lease components from lease components for the Company’s facility leases and to account for the lease and non-lease components as a single lease component. </w:t>
      </w:r>
    </w:p>
    <w:p>
      <w:pPr>
        <w:pStyle w:val="TextBody"/>
        <w:bidi w:val="0"/>
        <w:spacing w:before="120" w:after="0"/>
        <w:jc w:val="both"/>
        <w:rPr>
          <w:rFonts w:ascii="Times New Roman" w:hAnsi="Times New Roman"/>
          <w:sz w:val="20"/>
        </w:rPr>
      </w:pPr>
      <w:r>
        <w:rPr>
          <w:rFonts w:ascii="Times New Roman" w:hAnsi="Times New Roman"/>
          <w:sz w:val="20"/>
        </w:rPr>
        <w:t xml:space="preserve">A finance lease right-of-use asset is amortized on a straight-line basis over the shorter of estimated useful lives of the asset or the lease term. Interest expense from fixed payments on finance leases is recognized using the effective interest method. Finance lease right-of-use asset amortization and interest expense are recorded within general and administrative expenses and interest expense, respectively, within the Company’s consolidated statements of operations and comprehensive loss. </w:t>
      </w:r>
    </w:p>
    <w:p>
      <w:pPr>
        <w:pStyle w:val="TextBody"/>
        <w:bidi w:val="0"/>
        <w:spacing w:before="120" w:after="0"/>
        <w:jc w:val="both"/>
        <w:rPr>
          <w:rFonts w:ascii="Times New Roman" w:hAnsi="Times New Roman"/>
          <w:sz w:val="20"/>
        </w:rPr>
      </w:pPr>
      <w:r>
        <w:rPr>
          <w:rFonts w:ascii="Times New Roman" w:hAnsi="Times New Roman"/>
          <w:sz w:val="20"/>
        </w:rPr>
        <w:t xml:space="preserve">As of December 31, 2024, the Company had no right-of-use assets or lease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Redeemable Convertible Preferred Stock </w:t>
      </w:r>
    </w:p>
    <w:p>
      <w:pPr>
        <w:pStyle w:val="TextBody"/>
        <w:bidi w:val="0"/>
        <w:spacing w:before="120" w:after="0"/>
        <w:jc w:val="both"/>
        <w:rPr>
          <w:rFonts w:ascii="Times New Roman" w:hAnsi="Times New Roman"/>
          <w:sz w:val="20"/>
        </w:rPr>
      </w:pPr>
      <w:r>
        <w:rPr>
          <w:rFonts w:ascii="Times New Roman" w:hAnsi="Times New Roman"/>
          <w:sz w:val="20"/>
        </w:rPr>
        <w:t xml:space="preserve">The Company records all shares of redeemable convertible preferred stock at their respective fair values on the dates of issuance, net of tranche liability, if applicable, and issuance costs. The redeemable convertible preferred stock is recorded outside of permanent equity because the holders of such stock have redemption features and certain liquidation rights in the event of a deemed liquidation that, in certain situations, are not solely within the control of the Company and would require the redemption of the then-outstanding redeemable convertible preferred stock. </w:t>
      </w:r>
    </w:p>
    <w:p>
      <w:pPr>
        <w:pStyle w:val="TextBody"/>
        <w:bidi w:val="0"/>
        <w:spacing w:before="120" w:after="0"/>
        <w:jc w:val="both"/>
        <w:rPr>
          <w:rFonts w:ascii="Times New Roman" w:hAnsi="Times New Roman"/>
          <w:sz w:val="20"/>
        </w:rPr>
      </w:pPr>
      <w:r>
        <w:rPr>
          <w:rFonts w:ascii="Times New Roman" w:hAnsi="Times New Roman"/>
          <w:sz w:val="20"/>
        </w:rPr>
        <w:t xml:space="preserve">The Company’s Series A-1 and A-2 redeemable convertible preferred stock are not redeemable, except in the event of a deemed liquidation. The Company has not adjusted the carrying values of the Series A-1 and A-2 redeemable convertible preferred stock to the liquidation preferences of such shares because it is uncertain whether or when a deemed liquidation event would occur that would obligate the Company to pay the liquidation preferences to holders of shares of such redeemable convertible preferred stock. Subsequent adjustments to the carrying values to the liquidation preferences will be made only when it becomes probable that such a deemed liquidation event will occur.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holders of the Series B and C redeemable convertible preferred stock have the option to require the Company to redeem their shares beginning in March 2035. As a result, these shares were considered probable of becoming redeemable since the redemption option depends solely on the passage of time. Therefore, the Series B and C redeemable convertible preferred stock is adjusted to its redemption value at each reporting date. Any accretion in the carrying amount of redeemable convertible preferred stock is accounted for as a deemed dividend and recorded against paid-in capital or, in the absence of available paid-in capital, against accumulated deficit.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Preferred Stock Tranche Liabilities </w:t>
      </w:r>
    </w:p>
    <w:p>
      <w:pPr>
        <w:pStyle w:val="TextBody"/>
        <w:bidi w:val="0"/>
        <w:spacing w:before="120" w:after="0"/>
        <w:jc w:val="both"/>
        <w:rPr>
          <w:rFonts w:ascii="Times New Roman" w:hAnsi="Times New Roman"/>
          <w:sz w:val="20"/>
        </w:rPr>
      </w:pPr>
      <w:r>
        <w:rPr>
          <w:rFonts w:ascii="Times New Roman" w:hAnsi="Times New Roman"/>
          <w:sz w:val="20"/>
        </w:rPr>
        <w:t xml:space="preserve">The Series A Purchase Agreement and Series B Purchase Agreement include contingent obligations for the Company to issue shares of Series A-2 redeemable convertible preferred stock and Series B redeemable convertible preferred stock, respectively, at future dates (the “preferred stock tranche liabilities”). The preferred stock tranche liabilities were determined to be freestanding instruments within the scope of ASC 480, Distinguishing Liabilities from Equity that should be accounted for at fair value and remeasured at fair value each reporting period with changes recognized on the consolidated statements of operations and comprehensive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Revenue Recognition </w:t>
      </w:r>
    </w:p>
    <w:p>
      <w:pPr>
        <w:pStyle w:val="TextBody"/>
        <w:bidi w:val="0"/>
        <w:spacing w:before="120" w:after="0"/>
        <w:jc w:val="both"/>
        <w:rPr>
          <w:rFonts w:ascii="Times New Roman" w:hAnsi="Times New Roman"/>
          <w:sz w:val="20"/>
        </w:rPr>
      </w:pPr>
      <w:r>
        <w:rPr>
          <w:rFonts w:ascii="Times New Roman" w:hAnsi="Times New Roman"/>
          <w:sz w:val="20"/>
        </w:rPr>
        <w:t xml:space="preserve">Under ASC 606, </w:t>
      </w:r>
      <w:r>
        <w:rPr>
          <w:rFonts w:ascii="Times New Roman" w:hAnsi="Times New Roman"/>
          <w:i/>
          <w:sz w:val="20"/>
        </w:rPr>
        <w:t>Revenue from Contracts with Customers</w:t>
      </w:r>
      <w:r>
        <w:rPr>
          <w:rFonts w:ascii="Times New Roman" w:hAnsi="Times New Roman"/>
          <w:sz w:val="20"/>
        </w:rPr>
        <w:t xml:space="preserve">, the Company recognizes revenue when its customer obtains control of promised goods or services, in an amount that reflects the consideration which the Company expects to receive in exchange for those goods or services. To determine revenue recognition for arrangements that the Company determines are within the scope of ASC 606, the Company performs the following five steps as prescribed by ASC 606: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9"/>
        <w:gridCol w:w="8574"/>
      </w:tblGrid>
      <w:tr>
        <w:trPr/>
        <w:tc>
          <w:tcPr>
            <w:tcW w:w="112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574"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identify the contract(s) with a customer;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8"/>
        <w:gridCol w:w="8576"/>
      </w:tblGrid>
      <w:tr>
        <w:trPr/>
        <w:tc>
          <w:tcPr>
            <w:tcW w:w="112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57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identify the performance obligations in the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574"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determine the transaction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8574"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allocate the transaction price to the performance obligations in the contract;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8"/>
        <w:gridCol w:w="8576"/>
      </w:tblGrid>
      <w:tr>
        <w:trPr/>
        <w:tc>
          <w:tcPr>
            <w:tcW w:w="112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(v)</w:t>
            </w:r>
          </w:p>
        </w:tc>
        <w:tc>
          <w:tcPr>
            <w:tcW w:w="857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recognize revenue when (or as) the Company satisfies a performance obligation.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A contract with a customer exists when (i) the Company enters into a legally enforceable contract with a customer that defines each party’s rights regarding the products or services to be transferred and identifies the payment terms related to these products or services, (ii) the contract has commercial substance and (iii) the Company determines that collection of substantially all consideration for products or services that are transferred is probable based on the customer’s intent and ability to pay the promised consideration. </w:t>
      </w:r>
    </w:p>
    <w:p>
      <w:pPr>
        <w:pStyle w:val="TextBody"/>
        <w:bidi w:val="0"/>
        <w:spacing w:before="240" w:after="0"/>
        <w:jc w:val="both"/>
        <w:rPr>
          <w:rFonts w:ascii="Times New Roman" w:hAnsi="Times New Roman"/>
          <w:sz w:val="20"/>
        </w:rPr>
      </w:pPr>
      <w:r>
        <w:rPr>
          <w:rFonts w:ascii="Times New Roman" w:hAnsi="Times New Roman"/>
          <w:sz w:val="20"/>
        </w:rPr>
        <w:t xml:space="preserve">All of the Company’s revenues are derived through a license agreement (see Note 5). The Company’s contract with the customer includes promises related to licenses of intellectual property, research and development services and options to request the Company to perform additional research and development services. At contract inception, if the contract is determined to be within the scope of ASC 606, the Company identifies the goods or services promised and determines the performance obligations by assessing whether each promised good or service is distinct. In assessing whether promised goods or services are distinct, the Company considers factors such as the stage of development of the underlying intellectual property, the capabilities of the customer to develop the intellectual property on its own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whether the required expertise is readily available and whether the goods or services are integral or dependent to other goods or services in the contract. Goods or services that are not distinct are bundled with other goods or services in the contract until a bundle of goods or services that is distinct is created. Arrangements that include rights to additional goods or services that are exercisable at a customer’s discretion are generally considered options. The Company assesses if such options represent material rights, including if the price for the additional goods/services is at a significant and incremental discount to standalone selling price of such goods/services. </w:t>
      </w:r>
    </w:p>
    <w:p>
      <w:pPr>
        <w:pStyle w:val="TextBody"/>
        <w:bidi w:val="0"/>
        <w:spacing w:before="240" w:after="0"/>
        <w:jc w:val="both"/>
        <w:rPr>
          <w:rFonts w:ascii="Times New Roman" w:hAnsi="Times New Roman"/>
          <w:sz w:val="20"/>
        </w:rPr>
      </w:pPr>
      <w:r>
        <w:rPr>
          <w:rFonts w:ascii="Times New Roman" w:hAnsi="Times New Roman"/>
          <w:sz w:val="20"/>
        </w:rPr>
        <w:t xml:space="preserve">The transaction price is generally comprised of a fixed fee due at contract inception and at specified future dates, variable consideration in the form of milestone payments due upon the achievement of specified events and tiered royalties earned when the customer recognizes net sales of licensed products. The Company measures the transaction price based on the amount of consideration to which it expects to be entitled in exchange for transferring the promised goods and/or services to the customer. The Company utilizes the “most likely amount” method to estimate the amount of variable consideration related to development and regulatory milestone payments (see Note 5). The Company evaluates whether the associated milestone event is considered most likely to be achieved and estimates the amount to be included in the transaction price. Amounts of variable consideration are included in the transaction price to the extent that it is probable that a significant reversal in the amount of cumulative revenue recognized will not occur when the uncertainty associated with the variable consideration is subsequently resolved. </w:t>
      </w:r>
    </w:p>
    <w:p>
      <w:pPr>
        <w:pStyle w:val="TextBody"/>
        <w:bidi w:val="0"/>
        <w:spacing w:before="240" w:after="0"/>
        <w:jc w:val="both"/>
        <w:rPr>
          <w:rFonts w:ascii="Times New Roman" w:hAnsi="Times New Roman"/>
          <w:sz w:val="20"/>
        </w:rPr>
      </w:pPr>
      <w:r>
        <w:rPr>
          <w:rFonts w:ascii="Times New Roman" w:hAnsi="Times New Roman"/>
          <w:sz w:val="20"/>
        </w:rPr>
        <w:t xml:space="preserve">The Company allocates the transaction price to each performance obligation on a relative stand-alone selling price basis. The Company then recognizes as revenue the amount of the transaction price that is allocated to the respective performance obligation when (or as) the performance obligation is satisfied. </w:t>
      </w:r>
    </w:p>
    <w:p>
      <w:pPr>
        <w:pStyle w:val="TextBody"/>
        <w:bidi w:val="0"/>
        <w:spacing w:before="240" w:after="0"/>
        <w:jc w:val="both"/>
        <w:rPr>
          <w:rFonts w:ascii="Times New Roman" w:hAnsi="Times New Roman"/>
          <w:sz w:val="20"/>
        </w:rPr>
      </w:pPr>
      <w:r>
        <w:rPr>
          <w:rFonts w:ascii="Times New Roman" w:hAnsi="Times New Roman"/>
          <w:sz w:val="20"/>
        </w:rPr>
        <w:t xml:space="preserve">If the license to the Company’s intellectual property is determined to be distinct from the other performance obligations identified in the arrangement, the Company recognizes revenue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cumulative effect of changes to the estimated transaction price and estimated measure of progress to complete the Company’s performance obligation is recorded in the period in which changes are identified. </w:t>
      </w:r>
    </w:p>
    <w:p>
      <w:pPr>
        <w:pStyle w:val="TextBody"/>
        <w:bidi w:val="0"/>
        <w:spacing w:before="240" w:after="0"/>
        <w:jc w:val="both"/>
        <w:rPr>
          <w:rFonts w:ascii="Times New Roman" w:hAnsi="Times New Roman"/>
          <w:sz w:val="20"/>
        </w:rPr>
      </w:pPr>
      <w:r>
        <w:rPr>
          <w:rFonts w:ascii="Times New Roman" w:hAnsi="Times New Roman"/>
          <w:sz w:val="20"/>
        </w:rPr>
        <w:t xml:space="preserve">For arrangements that include sales-based royalties, including milestone payments based on the level of sales,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As of December 31, 2025, the Company has not recognized any royalty revenue resulting from its collaboration arrangement.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Contract Liabilities </w:t>
      </w:r>
    </w:p>
    <w:p>
      <w:pPr>
        <w:pStyle w:val="TextBody"/>
        <w:bidi w:val="0"/>
        <w:spacing w:before="120" w:after="0"/>
        <w:jc w:val="both"/>
        <w:rPr>
          <w:rFonts w:ascii="Times New Roman" w:hAnsi="Times New Roman"/>
          <w:sz w:val="20"/>
        </w:rPr>
      </w:pPr>
      <w:r>
        <w:rPr>
          <w:rFonts w:ascii="Times New Roman" w:hAnsi="Times New Roman"/>
          <w:sz w:val="20"/>
        </w:rPr>
        <w:t xml:space="preserve">A contract liability is an obligation to transfer goods or services for which the Company has received consideration or has an unconditional right to receive an amount of consideration. The current portion of contract liability represents the amount that is expected to be recognized as revenue within one year from the balance sheet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both"/>
        <w:rPr>
          <w:rFonts w:ascii="Times New Roman" w:hAnsi="Times New Roman"/>
          <w:sz w:val="20"/>
        </w:rPr>
      </w:pPr>
      <w:r>
        <w:rPr>
          <w:rFonts w:ascii="Times New Roman" w:hAnsi="Times New Roman"/>
          <w:sz w:val="20"/>
        </w:rPr>
        <w:t xml:space="preserve">The Company recognizes stock-based compensation expense based on the estimated fair value of stock-based awards on the date of grant, which for stock options is determined by using the Black-Scholes option-pricing model. The Black-Scholes option pricing model requires the input of subjective assumptions, including the fair value of the underlying common stock, the expected term of the stock option, the expected volatility of the price of the Company’s common stock, risk-free interest rates, and the dividend yield. The fair value of the restricted stock awards was determined based on the fair value of the Company’s common stock on the grant date. The assumptions used to determine the fair value of the stock option awards and restricted stock awards represent the Company’s best estimates. These estimates involve inherent uncertainties and the application of judgment. </w:t>
      </w:r>
    </w:p>
    <w:p>
      <w:pPr>
        <w:pStyle w:val="TextBody"/>
        <w:bidi w:val="0"/>
        <w:spacing w:before="120" w:after="0"/>
        <w:jc w:val="both"/>
        <w:rPr>
          <w:rFonts w:ascii="Times New Roman" w:hAnsi="Times New Roman"/>
          <w:sz w:val="20"/>
        </w:rPr>
      </w:pPr>
      <w:r>
        <w:rPr>
          <w:rFonts w:ascii="Times New Roman" w:hAnsi="Times New Roman"/>
          <w:sz w:val="20"/>
        </w:rPr>
        <w:t xml:space="preserve">Stock-based compensation expense is recognized over the awards’ vesting period on a straight-line basis and recorded as either research and development or general and administrative expenses on the consolidated statements of operations and comprehensive loss based on the function to which the related services are provided. The Company has elected to recognize the actual forfeitures by reducing the employee and non-employee stock-based compensation expense in the same period as the forfeitures occur. </w:t>
      </w:r>
    </w:p>
    <w:p>
      <w:pPr>
        <w:pStyle w:val="TextBody"/>
        <w:bidi w:val="0"/>
        <w:spacing w:before="120" w:after="0"/>
        <w:jc w:val="both"/>
        <w:rPr>
          <w:rFonts w:ascii="Times New Roman" w:hAnsi="Times New Roman"/>
          <w:sz w:val="20"/>
        </w:rPr>
      </w:pPr>
      <w:r>
        <w:rPr>
          <w:rFonts w:ascii="Times New Roman" w:hAnsi="Times New Roman"/>
          <w:sz w:val="20"/>
        </w:rPr>
        <w:t xml:space="preserve">Shares purchased pursuant to the early exercise of stock options are not deemed, for accounting purposes, to be issued until those shares vest according to their respective vesting schedules. Proceeds from the early exercise of stock options are recorded as other non-current liabilities, and recognized to additional paid-in capital on the consolidated balance sheets upon vesting.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both"/>
        <w:rPr>
          <w:rFonts w:ascii="Times New Roman" w:hAnsi="Times New Roman"/>
          <w:sz w:val="20"/>
        </w:rPr>
      </w:pPr>
      <w:r>
        <w:rPr>
          <w:rFonts w:ascii="Times New Roman" w:hAnsi="Times New Roman"/>
          <w:sz w:val="20"/>
        </w:rPr>
        <w:t xml:space="preserve">Income taxes are accounted for using an asset and liability approach that requires the recognition of deferred tax assets and liabilities for the expected future tax consequences of temporary differences between the financial statement and tax bases of assets and liabilities at the applicable enacted tax rates. Management makes an assessment of the likelihood that the resulting deferred tax assets will be realized. A valuation allowance is provided when it is more likely than not that some portion or all of a deferred tax asset will not be realized. Due to the Company’s history of operating losses, it is more likely than not that the deferred tax assets will not be fully realized, therefore a full valuation allowance has been recorded. </w:t>
      </w:r>
    </w:p>
    <w:p>
      <w:pPr>
        <w:pStyle w:val="TextBody"/>
        <w:bidi w:val="0"/>
        <w:spacing w:before="120" w:after="0"/>
        <w:jc w:val="both"/>
        <w:rPr>
          <w:rFonts w:ascii="Times New Roman" w:hAnsi="Times New Roman"/>
          <w:sz w:val="20"/>
        </w:rPr>
      </w:pPr>
      <w:r>
        <w:rPr>
          <w:rFonts w:ascii="Times New Roman" w:hAnsi="Times New Roman"/>
          <w:sz w:val="20"/>
        </w:rPr>
        <w:t xml:space="preserve">The Company recognizes the tax benefit from uncertain tax positions only if it is more likely than not that the tax position will be sustained on examination by the tax authorities, based on the technical merits of the position. The tax position is measured based on the largest benefit that has a greater than 50% likelihood of being realized upon ultimate settlement. The Company recognizes any applicable interest and penalties related to income tax matters in its provision for income taxes.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Per Share Attributable to Common Stockholders </w:t>
      </w:r>
    </w:p>
    <w:p>
      <w:pPr>
        <w:pStyle w:val="TextBody"/>
        <w:bidi w:val="0"/>
        <w:spacing w:before="120" w:after="0"/>
        <w:jc w:val="both"/>
        <w:rPr>
          <w:rFonts w:ascii="Times New Roman" w:hAnsi="Times New Roman"/>
          <w:sz w:val="20"/>
        </w:rPr>
      </w:pPr>
      <w:r>
        <w:rPr>
          <w:rFonts w:ascii="Times New Roman" w:hAnsi="Times New Roman"/>
          <w:sz w:val="20"/>
        </w:rPr>
        <w:t xml:space="preserve">Basic net loss per share of common stock is calculated by dividing the net loss attributable to common stockholders by the weighted-average number of shares of common stock outstanding during the period, without consideration of potentially dilutive securities. Net loss attributable to common stockholders is computed as net loss less accretion of redeemable convertible preferred stock. Diluted net loss per share is computed by dividing the net loss attributable to common stockholders by the weighted-average number of shares of common stock and potentially dilutive securities outstanding for the period. For purposes of the diluted net loss per share calculation, redeemable convertible preferred stock, unvested restricted stock awards and stock options are considered to be potentially dilutive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Basic and diluted net loss per share attributable to common stockholders is presented in conformity with the two-class method required for participating securities as the redeemable convertible preferred stock and unvested restricted stock awards are considered participating securities. The redeemable convertible preferred stock does not have a contractual obligation to share in the Company’s losses, and unvested restricted stock awards are considered contingently issuable shares for accounting purposes. Because the Company has reported a net loss for the reporting period presented, the diluted net loss per share of common stock is the same as basic net loss per common share for the reporting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Comprehensive Loss </w:t>
      </w:r>
    </w:p>
    <w:p>
      <w:pPr>
        <w:pStyle w:val="TextBody"/>
        <w:bidi w:val="0"/>
        <w:spacing w:before="120" w:after="0"/>
        <w:jc w:val="both"/>
        <w:rPr>
          <w:rFonts w:ascii="Times New Roman" w:hAnsi="Times New Roman"/>
          <w:sz w:val="20"/>
        </w:rPr>
      </w:pPr>
      <w:r>
        <w:rPr>
          <w:rFonts w:ascii="Times New Roman" w:hAnsi="Times New Roman"/>
          <w:sz w:val="20"/>
        </w:rPr>
        <w:t xml:space="preserve">Comprehensive loss is defined as a change in equity of a business enterprise during a period, resulting from transactions from non-owner sources. The Company’s other comprehensive income for the years ended December 31, 2024 and 2025 consisted of unrealized gains or losses on marketable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Pronouncements </w:t>
      </w:r>
    </w:p>
    <w:p>
      <w:pPr>
        <w:pStyle w:val="TextBody"/>
        <w:bidi w:val="0"/>
        <w:spacing w:before="120" w:after="0"/>
        <w:jc w:val="both"/>
        <w:rPr>
          <w:rFonts w:ascii="Times New Roman" w:hAnsi="Times New Roman"/>
          <w:sz w:val="20"/>
        </w:rPr>
      </w:pPr>
      <w:r>
        <w:rPr>
          <w:rFonts w:ascii="Times New Roman" w:hAnsi="Times New Roman"/>
          <w:sz w:val="20"/>
        </w:rPr>
        <w:t xml:space="preserve">From time to time, new accounting pronouncements are issued by the Financial Accounting Standards Board (the “FASB”) under its ASC or other standard setting bodies and adopted by the Company as of the specified effective date, unless otherwise discussed below. The Company qualifies as an “emerging growth company” as defined in the Jumpstart Our Business Startups Act of 2012, as amended (the “JOBS Act”) and adopts new or revised accounting standards on the dates applicable to nonpublic entities unless early adopted.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Recently Adopted Accounting Pronouncements </w:t>
      </w:r>
    </w:p>
    <w:p>
      <w:pPr>
        <w:pStyle w:val="TextBody"/>
        <w:bidi w:val="0"/>
        <w:spacing w:before="120" w:after="0"/>
        <w:jc w:val="both"/>
        <w:rPr>
          <w:rFonts w:ascii="Times New Roman" w:hAnsi="Times New Roman"/>
          <w:sz w:val="20"/>
        </w:rPr>
      </w:pPr>
      <w:r>
        <w:rPr>
          <w:rFonts w:ascii="Times New Roman" w:hAnsi="Times New Roman"/>
          <w:sz w:val="20"/>
        </w:rPr>
        <w:t xml:space="preserve">In December 2023, the FASB issued ASU 2023-09, </w:t>
      </w:r>
      <w:r>
        <w:rPr>
          <w:rFonts w:ascii="Times New Roman" w:hAnsi="Times New Roman"/>
          <w:i/>
          <w:sz w:val="20"/>
        </w:rPr>
        <w:t>Income Taxes (Topic 740): Improvements to Income Tax Disclosures</w:t>
      </w:r>
      <w:r>
        <w:rPr>
          <w:rFonts w:ascii="Times New Roman" w:hAnsi="Times New Roman"/>
          <w:sz w:val="20"/>
        </w:rPr>
        <w:t xml:space="preserve">, which includes amendments that further enhance income tax disclosures, primarily through standardization and disaggregation of rate reconciliation categories and income taxes paid by jurisdiction. The amendments are effective for fiscal years beginning after December 15, 2024 for all public business entities and for fiscal years beginning after December 15, 2025 and for all other entities. Early adoption is permitted and should be applied either prospectively or retrospectively. The Company adopted this ASU during the year ended December 31, 2025. The adoption of this standard resulted in additional required disclosures, which are included in Note 11 - Income Taxes, but did not affect the Company’s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Accounting Pronouncements Not Yet Adopted </w:t>
      </w:r>
    </w:p>
    <w:p>
      <w:pPr>
        <w:pStyle w:val="TextBody"/>
        <w:bidi w:val="0"/>
        <w:spacing w:before="120" w:after="0"/>
        <w:jc w:val="both"/>
        <w:rPr>
          <w:rFonts w:ascii="Times New Roman" w:hAnsi="Times New Roman"/>
          <w:sz w:val="20"/>
        </w:rPr>
      </w:pPr>
      <w:r>
        <w:rPr>
          <w:rFonts w:ascii="Times New Roman" w:hAnsi="Times New Roman"/>
          <w:sz w:val="20"/>
        </w:rPr>
        <w:t>In November 2024, the FASB issued ASU 2024-03, </w:t>
      </w:r>
      <w:r>
        <w:rPr>
          <w:rFonts w:ascii="Times New Roman" w:hAnsi="Times New Roman"/>
          <w:i/>
          <w:sz w:val="20"/>
        </w:rPr>
        <w:t>Disaggregation of Income Statement Expenses (Topic 220)</w:t>
      </w:r>
      <w:r>
        <w:rPr>
          <w:rFonts w:ascii="Times New Roman" w:hAnsi="Times New Roman"/>
          <w:sz w:val="20"/>
        </w:rPr>
        <w:t xml:space="preserve">, requiring that public business entities disclose additional information about specific expense categories in the notes to financial statements at interim and annual reporting periods. The amendments are effective for annual reporting periods beginning after December 15, 2026, and interim reporting periods within annual periods beginning after December 15, 2027. The requirements of ASU 2024-03 may be applied either prospectively to financial statements issued for reporting periods after the effective date or retrospectively to any or all prior periods presented in the financial statements. The Company is currently evaluating the impact of adopting ASU 2024-03 on its consolidated financial statements and disclosures.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Fair Value Measurements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Company determines the fair value of financial and non-financial assets and liabilities using the fair value hierarchy which establishes three levels of inputs that may be used to measure fair value, as follows: </w:t>
      </w:r>
    </w:p>
    <w:p>
      <w:pPr>
        <w:pStyle w:val="TextBody"/>
        <w:bidi w:val="0"/>
        <w:spacing w:before="120" w:after="0"/>
        <w:jc w:val="both"/>
        <w:rPr>
          <w:rFonts w:ascii="Times New Roman" w:hAnsi="Times New Roman"/>
          <w:sz w:val="20"/>
        </w:rPr>
      </w:pPr>
      <w:r>
        <w:rPr>
          <w:rFonts w:ascii="Times New Roman" w:hAnsi="Times New Roman"/>
          <w:sz w:val="20"/>
        </w:rPr>
        <w:t xml:space="preserve">Level 1 — Observable inputs, such as quoted prices in active markets for identical assets or liabilities. </w:t>
      </w:r>
    </w:p>
    <w:p>
      <w:pPr>
        <w:pStyle w:val="TextBody"/>
        <w:bidi w:val="0"/>
        <w:spacing w:before="120" w:after="0"/>
        <w:jc w:val="both"/>
        <w:rPr>
          <w:rFonts w:ascii="Times New Roman" w:hAnsi="Times New Roman"/>
          <w:sz w:val="20"/>
        </w:rPr>
      </w:pPr>
      <w:r>
        <w:rPr>
          <w:rFonts w:ascii="Times New Roman" w:hAnsi="Times New Roman"/>
          <w:sz w:val="20"/>
        </w:rPr>
        <w:t xml:space="preserve">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w:t>
      </w:r>
    </w:p>
    <w:p>
      <w:pPr>
        <w:pStyle w:val="TextBody"/>
        <w:bidi w:val="0"/>
        <w:spacing w:before="120" w:after="0"/>
        <w:jc w:val="both"/>
        <w:rPr>
          <w:rFonts w:ascii="Times New Roman" w:hAnsi="Times New Roman"/>
          <w:sz w:val="20"/>
        </w:rPr>
      </w:pPr>
      <w:r>
        <w:rPr>
          <w:rFonts w:ascii="Times New Roman" w:hAnsi="Times New Roman"/>
          <w:sz w:val="20"/>
        </w:rPr>
        <w:t xml:space="preserve">Level 3 — Unobservable inputs that are supported by little or no market activity and that are significant to the fair value of the assets or liabilities. </w:t>
      </w:r>
    </w:p>
    <w:p>
      <w:pPr>
        <w:pStyle w:val="TextBody"/>
        <w:bidi w:val="0"/>
        <w:spacing w:before="120" w:after="0"/>
        <w:jc w:val="both"/>
        <w:rPr>
          <w:rFonts w:ascii="Times New Roman" w:hAnsi="Times New Roman"/>
          <w:sz w:val="20"/>
        </w:rPr>
      </w:pPr>
      <w:r>
        <w:rPr>
          <w:rFonts w:ascii="Times New Roman" w:hAnsi="Times New Roman"/>
          <w:sz w:val="20"/>
        </w:rPr>
        <w:t xml:space="preserve">In determining fair value, the Company utilizes valuation techniques that maximize the use of observable inputs and minimize the use of unobservable inputs to the extent possible as well as considers counterparty credit risk in its assessment of fair value. </w:t>
      </w:r>
    </w:p>
    <w:p>
      <w:pPr>
        <w:pStyle w:val="TextBody"/>
        <w:bidi w:val="0"/>
        <w:spacing w:before="120" w:after="0"/>
        <w:jc w:val="both"/>
        <w:rPr>
          <w:rFonts w:ascii="Times New Roman" w:hAnsi="Times New Roman"/>
          <w:sz w:val="20"/>
        </w:rPr>
      </w:pPr>
      <w:r>
        <w:rPr>
          <w:rFonts w:ascii="Times New Roman" w:hAnsi="Times New Roman"/>
          <w:sz w:val="20"/>
        </w:rPr>
        <w:t xml:space="preserve">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 </w:t>
      </w:r>
    </w:p>
    <w:p>
      <w:pPr>
        <w:pStyle w:val="TextBody"/>
        <w:bidi w:val="0"/>
        <w:spacing w:before="120" w:after="0"/>
        <w:jc w:val="both"/>
        <w:rPr>
          <w:rFonts w:ascii="Times New Roman" w:hAnsi="Times New Roman"/>
          <w:sz w:val="20"/>
        </w:rPr>
      </w:pPr>
      <w:r>
        <w:rPr>
          <w:rFonts w:ascii="Times New Roman" w:hAnsi="Times New Roman"/>
          <w:sz w:val="20"/>
        </w:rPr>
        <w:t xml:space="preserve">The Company recognizes transfers into and out of levels within the fair value hierarchy in the period in which the actual event or change in circumstances that caused the transfer occurs. </w:t>
      </w:r>
    </w:p>
    <w:p>
      <w:pPr>
        <w:pStyle w:val="TextBody"/>
        <w:bidi w:val="0"/>
        <w:spacing w:before="120" w:after="0"/>
        <w:jc w:val="both"/>
        <w:rPr>
          <w:rFonts w:ascii="Times New Roman" w:hAnsi="Times New Roman"/>
          <w:sz w:val="20"/>
        </w:rPr>
      </w:pPr>
      <w:r>
        <w:rPr>
          <w:rFonts w:ascii="Times New Roman" w:hAnsi="Times New Roman"/>
          <w:sz w:val="20"/>
        </w:rPr>
        <w:t xml:space="preserve">Financial assets and liabilities are considered Level 3 when their fair values are determined using pricing models, discounted cash flow methodologies, or similar techniques, and at least one significant model assumption or input is unobservable. </w:t>
      </w:r>
    </w:p>
    <w:p>
      <w:pPr>
        <w:pStyle w:val="TextBody"/>
        <w:bidi w:val="0"/>
        <w:spacing w:before="120" w:after="0"/>
        <w:jc w:val="both"/>
        <w:rPr>
          <w:rFonts w:ascii="Times New Roman" w:hAnsi="Times New Roman"/>
          <w:sz w:val="20"/>
        </w:rPr>
      </w:pPr>
      <w:r>
        <w:rPr>
          <w:rFonts w:ascii="Times New Roman" w:hAnsi="Times New Roman"/>
          <w:sz w:val="20"/>
        </w:rPr>
        <w:t>The following tables set forth the fair value of the Company’s financial assets and liabilities measured on a recurring basis by level within the fair value hierarchy (in thousands):</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3748"/>
        <w:gridCol w:w="353"/>
        <w:gridCol w:w="140"/>
        <w:gridCol w:w="686"/>
        <w:gridCol w:w="60"/>
        <w:gridCol w:w="353"/>
        <w:gridCol w:w="140"/>
        <w:gridCol w:w="686"/>
        <w:gridCol w:w="60"/>
        <w:gridCol w:w="353"/>
        <w:gridCol w:w="158"/>
        <w:gridCol w:w="633"/>
        <w:gridCol w:w="60"/>
        <w:gridCol w:w="352"/>
        <w:gridCol w:w="140"/>
        <w:gridCol w:w="686"/>
        <w:gridCol w:w="66"/>
      </w:tblGrid>
      <w:tr>
        <w:trPr/>
        <w:tc>
          <w:tcPr>
            <w:tcW w:w="3748"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748"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4507"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6" w:type="dxa"/>
            <w:tcBorders/>
            <w:vAlign w:val="bottom"/>
          </w:tcPr>
          <w:p>
            <w:pPr>
              <w:pStyle w:val="TableContents"/>
              <w:bidi w:val="0"/>
              <w:spacing w:before="0" w:after="283"/>
              <w:jc w:val="left"/>
              <w:rPr/>
            </w:pPr>
            <w:r>
              <w:rPr/>
              <w:t> </w:t>
            </w:r>
          </w:p>
        </w:tc>
      </w:tr>
      <w:tr>
        <w:trPr/>
        <w:tc>
          <w:tcPr>
            <w:tcW w:w="3748"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8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8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7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8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3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6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6"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748"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6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6" w:type="dxa"/>
            <w:tcBorders/>
            <w:shd w:fill="CCEEFF" w:val="clear"/>
            <w:vAlign w:val="bottom"/>
          </w:tcPr>
          <w:p>
            <w:pPr>
              <w:pStyle w:val="TableContents"/>
              <w:bidi w:val="0"/>
              <w:spacing w:before="0" w:after="283"/>
              <w:jc w:val="right"/>
              <w:rPr/>
            </w:pPr>
            <w:r>
              <w:rPr/>
              <w:t>26,410</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6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6" w:type="dxa"/>
            <w:tcBorders/>
            <w:shd w:fill="CCEEFF" w:val="clear"/>
            <w:vAlign w:val="bottom"/>
          </w:tcPr>
          <w:p>
            <w:pPr>
              <w:pStyle w:val="TableContents"/>
              <w:bidi w:val="0"/>
              <w:spacing w:before="0" w:after="283"/>
              <w:jc w:val="right"/>
              <w:rPr/>
            </w:pPr>
            <w:r>
              <w:rPr/>
              <w:t>26,410</w:t>
            </w:r>
          </w:p>
        </w:tc>
        <w:tc>
          <w:tcPr>
            <w:tcW w:w="66" w:type="dxa"/>
            <w:tcBorders/>
            <w:shd w:fill="CCEEFF" w:val="clear"/>
            <w:vAlign w:val="bottom"/>
          </w:tcPr>
          <w:p>
            <w:pPr>
              <w:pStyle w:val="TableContents"/>
              <w:bidi w:val="0"/>
              <w:spacing w:before="0" w:after="283"/>
              <w:jc w:val="left"/>
              <w:rPr/>
            </w:pPr>
            <w:r>
              <w:rPr/>
              <w:t> </w:t>
            </w:r>
          </w:p>
        </w:tc>
      </w:tr>
      <w:tr>
        <w:trPr/>
        <w:tc>
          <w:tcPr>
            <w:tcW w:w="3748" w:type="dxa"/>
            <w:tcBorders/>
          </w:tcPr>
          <w:p>
            <w:pPr>
              <w:pStyle w:val="TableContents"/>
              <w:bidi w:val="0"/>
              <w:spacing w:before="0" w:after="0"/>
              <w:jc w:val="left"/>
              <w:rPr>
                <w:rFonts w:ascii="Times New Roman" w:hAnsi="Times New Roman"/>
                <w:sz w:val="20"/>
              </w:rPr>
            </w:pPr>
            <w:r>
              <w:rPr>
                <w:rFonts w:ascii="Times New Roman" w:hAnsi="Times New Roman"/>
                <w:sz w:val="20"/>
              </w:rPr>
              <w:t>U.S. Treasury bills</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3,971</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3,971</w:t>
            </w:r>
          </w:p>
        </w:tc>
        <w:tc>
          <w:tcPr>
            <w:tcW w:w="66" w:type="dxa"/>
            <w:tcBorders/>
            <w:vAlign w:val="bottom"/>
          </w:tcPr>
          <w:p>
            <w:pPr>
              <w:pStyle w:val="TableContents"/>
              <w:bidi w:val="0"/>
              <w:spacing w:before="0" w:after="283"/>
              <w:jc w:val="left"/>
              <w:rPr/>
            </w:pPr>
            <w:r>
              <w:rPr/>
              <w:t> </w:t>
            </w:r>
          </w:p>
        </w:tc>
      </w:tr>
      <w:tr>
        <w:trPr/>
        <w:tc>
          <w:tcPr>
            <w:tcW w:w="3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6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6"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748" w:type="dxa"/>
            <w:tcBorders/>
          </w:tcPr>
          <w:p>
            <w:pPr>
              <w:pStyle w:val="TableContents"/>
              <w:bidi w:val="0"/>
              <w:spacing w:before="0" w:after="0"/>
              <w:jc w:val="left"/>
              <w:rPr>
                <w:rFonts w:ascii="Times New Roman" w:hAnsi="Times New Roman"/>
                <w:sz w:val="20"/>
              </w:rPr>
            </w:pPr>
            <w:r>
              <w:rPr>
                <w:rFonts w:ascii="Times New Roman" w:hAnsi="Times New Roman"/>
                <w:sz w:val="20"/>
              </w:rPr>
              <w:t>U.S. Treasury notes</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30,746</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30,746</w:t>
            </w:r>
          </w:p>
        </w:tc>
        <w:tc>
          <w:tcPr>
            <w:tcW w:w="66" w:type="dxa"/>
            <w:tcBorders/>
            <w:vAlign w:val="bottom"/>
          </w:tcPr>
          <w:p>
            <w:pPr>
              <w:pStyle w:val="TableContents"/>
              <w:bidi w:val="0"/>
              <w:spacing w:before="0" w:after="283"/>
              <w:jc w:val="left"/>
              <w:rPr/>
            </w:pPr>
            <w:r>
              <w:rPr/>
              <w:t> </w:t>
            </w:r>
          </w:p>
        </w:tc>
      </w:tr>
      <w:tr>
        <w:trPr/>
        <w:tc>
          <w:tcPr>
            <w:tcW w:w="3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Treasury bills</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7,945</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7,945</w:t>
            </w:r>
          </w:p>
        </w:tc>
        <w:tc>
          <w:tcPr>
            <w:tcW w:w="66" w:type="dxa"/>
            <w:tcBorders/>
            <w:shd w:fill="CCEEFF" w:val="clear"/>
            <w:vAlign w:val="bottom"/>
          </w:tcPr>
          <w:p>
            <w:pPr>
              <w:pStyle w:val="TableContents"/>
              <w:bidi w:val="0"/>
              <w:spacing w:before="0" w:after="283"/>
              <w:jc w:val="left"/>
              <w:rPr/>
            </w:pPr>
            <w:r>
              <w:rPr/>
              <w:t> </w:t>
            </w:r>
          </w:p>
        </w:tc>
      </w:tr>
      <w:tr>
        <w:trPr/>
        <w:tc>
          <w:tcPr>
            <w:tcW w:w="3748"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6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748" w:type="dxa"/>
            <w:tcBorders/>
          </w:tcPr>
          <w:p>
            <w:pPr>
              <w:pStyle w:val="TableContents"/>
              <w:bidi w:val="0"/>
              <w:spacing w:before="0" w:after="0"/>
              <w:jc w:val="left"/>
              <w:rPr>
                <w:rFonts w:ascii="Times New Roman" w:hAnsi="Times New Roman"/>
                <w:sz w:val="20"/>
              </w:rPr>
            </w:pPr>
            <w:r>
              <w:rPr>
                <w:rFonts w:ascii="Times New Roman" w:hAnsi="Times New Roman"/>
                <w:sz w:val="20"/>
              </w:rPr>
              <w:t>Total financial assets</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6" w:type="dxa"/>
            <w:tcBorders/>
            <w:vAlign w:val="bottom"/>
          </w:tcPr>
          <w:p>
            <w:pPr>
              <w:pStyle w:val="TableContents"/>
              <w:bidi w:val="0"/>
              <w:spacing w:before="0" w:after="283"/>
              <w:jc w:val="right"/>
              <w:rPr/>
            </w:pPr>
            <w:r>
              <w:rPr/>
              <w:t>26,410</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6" w:type="dxa"/>
            <w:tcBorders/>
            <w:vAlign w:val="bottom"/>
          </w:tcPr>
          <w:p>
            <w:pPr>
              <w:pStyle w:val="TableContents"/>
              <w:bidi w:val="0"/>
              <w:spacing w:before="0" w:after="283"/>
              <w:jc w:val="right"/>
              <w:rPr/>
            </w:pPr>
            <w:r>
              <w:rPr/>
              <w:t>42,662</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6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6" w:type="dxa"/>
            <w:tcBorders/>
            <w:vAlign w:val="bottom"/>
          </w:tcPr>
          <w:p>
            <w:pPr>
              <w:pStyle w:val="TableContents"/>
              <w:bidi w:val="0"/>
              <w:spacing w:before="0" w:after="283"/>
              <w:jc w:val="right"/>
              <w:rPr/>
            </w:pPr>
            <w:r>
              <w:rPr/>
              <w:t>69,072</w:t>
            </w:r>
          </w:p>
        </w:tc>
        <w:tc>
          <w:tcPr>
            <w:tcW w:w="66" w:type="dxa"/>
            <w:tcBorders/>
            <w:vAlign w:val="bottom"/>
          </w:tcPr>
          <w:p>
            <w:pPr>
              <w:pStyle w:val="TableContents"/>
              <w:bidi w:val="0"/>
              <w:spacing w:before="0" w:after="283"/>
              <w:jc w:val="left"/>
              <w:rPr/>
            </w:pPr>
            <w:r>
              <w:rPr/>
              <w:t> </w:t>
            </w:r>
          </w:p>
        </w:tc>
      </w:tr>
      <w:tr>
        <w:trPr/>
        <w:tc>
          <w:tcPr>
            <w:tcW w:w="3748"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6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6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6"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748" w:type="dxa"/>
            <w:tcBorders/>
          </w:tcPr>
          <w:p>
            <w:pPr>
              <w:pStyle w:val="TableContents"/>
              <w:bidi w:val="0"/>
              <w:spacing w:before="0" w:after="0"/>
              <w:jc w:val="left"/>
              <w:rPr>
                <w:rFonts w:ascii="Times New Roman" w:hAnsi="Times New Roman"/>
                <w:sz w:val="20"/>
              </w:rPr>
            </w:pPr>
            <w:r>
              <w:rPr>
                <w:rFonts w:ascii="Times New Roman" w:hAnsi="Times New Roman"/>
                <w:sz w:val="20"/>
              </w:rPr>
              <w:t>Preferred stock tranche liability</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633" w:type="dxa"/>
            <w:tcBorders/>
            <w:vAlign w:val="bottom"/>
          </w:tcPr>
          <w:p>
            <w:pPr>
              <w:pStyle w:val="TableContents"/>
              <w:bidi w:val="0"/>
              <w:spacing w:before="0" w:after="283"/>
              <w:jc w:val="right"/>
              <w:rPr/>
            </w:pPr>
            <w:r>
              <w:rPr/>
              <w:t>6,638</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6" w:type="dxa"/>
            <w:tcBorders/>
            <w:vAlign w:val="bottom"/>
          </w:tcPr>
          <w:p>
            <w:pPr>
              <w:pStyle w:val="TableContents"/>
              <w:bidi w:val="0"/>
              <w:spacing w:before="0" w:after="283"/>
              <w:jc w:val="right"/>
              <w:rPr/>
            </w:pPr>
            <w:r>
              <w:rPr/>
              <w:t>6,638</w:t>
            </w:r>
          </w:p>
        </w:tc>
        <w:tc>
          <w:tcPr>
            <w:tcW w:w="66" w:type="dxa"/>
            <w:tcBorders/>
            <w:vAlign w:val="bottom"/>
          </w:tcPr>
          <w:p>
            <w:pPr>
              <w:pStyle w:val="TableContents"/>
              <w:bidi w:val="0"/>
              <w:spacing w:before="0" w:after="283"/>
              <w:jc w:val="left"/>
              <w:rPr/>
            </w:pPr>
            <w:r>
              <w:rPr/>
              <w:t> </w:t>
            </w:r>
          </w:p>
        </w:tc>
      </w:tr>
      <w:tr>
        <w:trPr/>
        <w:tc>
          <w:tcPr>
            <w:tcW w:w="3748"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6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financial liabilities</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633" w:type="dxa"/>
            <w:tcBorders/>
            <w:shd w:fill="CCEEFF" w:val="clear"/>
            <w:vAlign w:val="bottom"/>
          </w:tcPr>
          <w:p>
            <w:pPr>
              <w:pStyle w:val="TableContents"/>
              <w:bidi w:val="0"/>
              <w:spacing w:before="0" w:after="283"/>
              <w:jc w:val="right"/>
              <w:rPr/>
            </w:pPr>
            <w:r>
              <w:rPr/>
              <w:t>6,638</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6" w:type="dxa"/>
            <w:tcBorders/>
            <w:shd w:fill="CCEEFF" w:val="clear"/>
            <w:vAlign w:val="bottom"/>
          </w:tcPr>
          <w:p>
            <w:pPr>
              <w:pStyle w:val="TableContents"/>
              <w:bidi w:val="0"/>
              <w:spacing w:before="0" w:after="283"/>
              <w:jc w:val="right"/>
              <w:rPr/>
            </w:pPr>
            <w:r>
              <w:rPr/>
              <w:t>6,638</w:t>
            </w:r>
          </w:p>
        </w:tc>
        <w:tc>
          <w:tcPr>
            <w:tcW w:w="66" w:type="dxa"/>
            <w:tcBorders/>
            <w:shd w:fill="CCEEFF" w:val="clear"/>
            <w:vAlign w:val="bottom"/>
          </w:tcPr>
          <w:p>
            <w:pPr>
              <w:pStyle w:val="TableContents"/>
              <w:bidi w:val="0"/>
              <w:spacing w:before="0" w:after="283"/>
              <w:jc w:val="left"/>
              <w:rPr/>
            </w:pPr>
            <w:r>
              <w:rPr/>
              <w:t> </w:t>
            </w:r>
          </w:p>
        </w:tc>
      </w:tr>
      <w:tr>
        <w:trPr/>
        <w:tc>
          <w:tcPr>
            <w:tcW w:w="3748"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6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3659"/>
        <w:gridCol w:w="289"/>
        <w:gridCol w:w="140"/>
        <w:gridCol w:w="855"/>
        <w:gridCol w:w="60"/>
        <w:gridCol w:w="289"/>
        <w:gridCol w:w="140"/>
        <w:gridCol w:w="714"/>
        <w:gridCol w:w="60"/>
        <w:gridCol w:w="289"/>
        <w:gridCol w:w="203"/>
        <w:gridCol w:w="567"/>
        <w:gridCol w:w="60"/>
        <w:gridCol w:w="288"/>
        <w:gridCol w:w="140"/>
        <w:gridCol w:w="855"/>
        <w:gridCol w:w="66"/>
      </w:tblGrid>
      <w:tr>
        <w:trPr/>
        <w:tc>
          <w:tcPr>
            <w:tcW w:w="3659"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659"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466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6" w:type="dxa"/>
            <w:tcBorders/>
            <w:vAlign w:val="bottom"/>
          </w:tcPr>
          <w:p>
            <w:pPr>
              <w:pStyle w:val="TableContents"/>
              <w:bidi w:val="0"/>
              <w:spacing w:before="0" w:after="283"/>
              <w:jc w:val="left"/>
              <w:rPr/>
            </w:pPr>
            <w:r>
              <w:rPr/>
              <w:t> </w:t>
            </w:r>
          </w:p>
        </w:tc>
      </w:tr>
      <w:tr>
        <w:trPr/>
        <w:tc>
          <w:tcPr>
            <w:tcW w:w="3659"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8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36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5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659"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5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6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5" w:type="dxa"/>
            <w:tcBorders/>
            <w:shd w:fill="CCEEFF" w:val="clear"/>
            <w:vAlign w:val="bottom"/>
          </w:tcPr>
          <w:p>
            <w:pPr>
              <w:pStyle w:val="TableContents"/>
              <w:bidi w:val="0"/>
              <w:spacing w:before="0" w:after="283"/>
              <w:jc w:val="right"/>
              <w:rPr/>
            </w:pPr>
            <w:r>
              <w:rPr/>
              <w:t>35,526</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5" w:type="dxa"/>
            <w:tcBorders/>
            <w:shd w:fill="CCEEFF" w:val="clear"/>
            <w:vAlign w:val="bottom"/>
          </w:tcPr>
          <w:p>
            <w:pPr>
              <w:pStyle w:val="TableContents"/>
              <w:bidi w:val="0"/>
              <w:spacing w:before="0" w:after="283"/>
              <w:jc w:val="right"/>
              <w:rPr/>
            </w:pPr>
            <w:r>
              <w:rPr/>
              <w:t>35,526</w:t>
            </w:r>
          </w:p>
        </w:tc>
        <w:tc>
          <w:tcPr>
            <w:tcW w:w="66" w:type="dxa"/>
            <w:tcBorders/>
            <w:shd w:fill="CCEEFF" w:val="clear"/>
            <w:vAlign w:val="bottom"/>
          </w:tcPr>
          <w:p>
            <w:pPr>
              <w:pStyle w:val="TableContents"/>
              <w:bidi w:val="0"/>
              <w:spacing w:before="0" w:after="283"/>
              <w:jc w:val="left"/>
              <w:rPr/>
            </w:pPr>
            <w:r>
              <w:rPr/>
              <w:t> </w:t>
            </w:r>
          </w:p>
        </w:tc>
      </w:tr>
      <w:tr>
        <w:trPr/>
        <w:tc>
          <w:tcPr>
            <w:tcW w:w="3659" w:type="dxa"/>
            <w:tcBorders/>
          </w:tcPr>
          <w:p>
            <w:pPr>
              <w:pStyle w:val="TableContents"/>
              <w:bidi w:val="0"/>
              <w:spacing w:before="0" w:after="0"/>
              <w:jc w:val="left"/>
              <w:rPr>
                <w:rFonts w:ascii="Times New Roman" w:hAnsi="Times New Roman"/>
                <w:sz w:val="20"/>
              </w:rPr>
            </w:pPr>
            <w:r>
              <w:rPr>
                <w:rFonts w:ascii="Times New Roman" w:hAnsi="Times New Roman"/>
                <w:sz w:val="20"/>
              </w:rPr>
              <w:t>U.S. Treasury bills</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2,485</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2,485</w:t>
            </w:r>
          </w:p>
        </w:tc>
        <w:tc>
          <w:tcPr>
            <w:tcW w:w="66" w:type="dxa"/>
            <w:tcBorders/>
            <w:vAlign w:val="bottom"/>
          </w:tcPr>
          <w:p>
            <w:pPr>
              <w:pStyle w:val="TableContents"/>
              <w:bidi w:val="0"/>
              <w:spacing w:before="0" w:after="283"/>
              <w:jc w:val="left"/>
              <w:rPr/>
            </w:pPr>
            <w:r>
              <w:rPr/>
              <w:t> </w:t>
            </w:r>
          </w:p>
        </w:tc>
      </w:tr>
      <w:tr>
        <w:trPr/>
        <w:tc>
          <w:tcPr>
            <w:tcW w:w="36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5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659" w:type="dxa"/>
            <w:tcBorders/>
          </w:tcPr>
          <w:p>
            <w:pPr>
              <w:pStyle w:val="TableContents"/>
              <w:bidi w:val="0"/>
              <w:spacing w:before="0" w:after="0"/>
              <w:jc w:val="left"/>
              <w:rPr>
                <w:rFonts w:ascii="Times New Roman" w:hAnsi="Times New Roman"/>
                <w:sz w:val="20"/>
              </w:rPr>
            </w:pPr>
            <w:r>
              <w:rPr>
                <w:rFonts w:ascii="Times New Roman" w:hAnsi="Times New Roman"/>
                <w:sz w:val="20"/>
              </w:rPr>
              <w:t>U.S. Treasury notes</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82,397</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82,397</w:t>
            </w:r>
          </w:p>
        </w:tc>
        <w:tc>
          <w:tcPr>
            <w:tcW w:w="66" w:type="dxa"/>
            <w:tcBorders/>
            <w:vAlign w:val="bottom"/>
          </w:tcPr>
          <w:p>
            <w:pPr>
              <w:pStyle w:val="TableContents"/>
              <w:bidi w:val="0"/>
              <w:spacing w:before="0" w:after="283"/>
              <w:jc w:val="left"/>
              <w:rPr/>
            </w:pPr>
            <w:r>
              <w:rPr/>
              <w:t> </w:t>
            </w:r>
          </w:p>
        </w:tc>
      </w:tr>
      <w:tr>
        <w:trPr/>
        <w:tc>
          <w:tcPr>
            <w:tcW w:w="36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Treasury bills</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14,736</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14,942</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29,678</w:t>
            </w:r>
          </w:p>
        </w:tc>
        <w:tc>
          <w:tcPr>
            <w:tcW w:w="66" w:type="dxa"/>
            <w:tcBorders/>
            <w:shd w:fill="CCEEFF" w:val="clear"/>
            <w:vAlign w:val="bottom"/>
          </w:tcPr>
          <w:p>
            <w:pPr>
              <w:pStyle w:val="TableContents"/>
              <w:bidi w:val="0"/>
              <w:spacing w:before="0" w:after="283"/>
              <w:jc w:val="left"/>
              <w:rPr/>
            </w:pPr>
            <w:r>
              <w:rPr/>
              <w:t> </w:t>
            </w:r>
          </w:p>
        </w:tc>
      </w:tr>
      <w:tr>
        <w:trPr/>
        <w:tc>
          <w:tcPr>
            <w:tcW w:w="3659"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659" w:type="dxa"/>
            <w:tcBorders/>
          </w:tcPr>
          <w:p>
            <w:pPr>
              <w:pStyle w:val="TableContents"/>
              <w:bidi w:val="0"/>
              <w:spacing w:before="0" w:after="0"/>
              <w:jc w:val="left"/>
              <w:rPr>
                <w:rFonts w:ascii="Times New Roman" w:hAnsi="Times New Roman"/>
                <w:sz w:val="20"/>
              </w:rPr>
            </w:pPr>
            <w:r>
              <w:rPr>
                <w:rFonts w:ascii="Times New Roman" w:hAnsi="Times New Roman"/>
                <w:sz w:val="20"/>
              </w:rPr>
              <w:t>Total financial assets</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5" w:type="dxa"/>
            <w:tcBorders/>
            <w:vAlign w:val="bottom"/>
          </w:tcPr>
          <w:p>
            <w:pPr>
              <w:pStyle w:val="TableContents"/>
              <w:bidi w:val="0"/>
              <w:spacing w:before="0" w:after="283"/>
              <w:jc w:val="right"/>
              <w:rPr/>
            </w:pPr>
            <w:r>
              <w:rPr/>
              <w:t>132,659</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4" w:type="dxa"/>
            <w:tcBorders/>
            <w:vAlign w:val="bottom"/>
          </w:tcPr>
          <w:p>
            <w:pPr>
              <w:pStyle w:val="TableContents"/>
              <w:bidi w:val="0"/>
              <w:spacing w:before="0" w:after="283"/>
              <w:jc w:val="right"/>
              <w:rPr/>
            </w:pPr>
            <w:r>
              <w:rPr/>
              <w:t>17,427</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5" w:type="dxa"/>
            <w:tcBorders/>
            <w:vAlign w:val="bottom"/>
          </w:tcPr>
          <w:p>
            <w:pPr>
              <w:pStyle w:val="TableContents"/>
              <w:bidi w:val="0"/>
              <w:spacing w:before="0" w:after="283"/>
              <w:jc w:val="right"/>
              <w:rPr/>
            </w:pPr>
            <w:r>
              <w:rPr/>
              <w:t>150,086</w:t>
            </w:r>
          </w:p>
        </w:tc>
        <w:tc>
          <w:tcPr>
            <w:tcW w:w="66" w:type="dxa"/>
            <w:tcBorders/>
            <w:vAlign w:val="bottom"/>
          </w:tcPr>
          <w:p>
            <w:pPr>
              <w:pStyle w:val="TableContents"/>
              <w:bidi w:val="0"/>
              <w:spacing w:before="0" w:after="283"/>
              <w:jc w:val="left"/>
              <w:rPr/>
            </w:pPr>
            <w:r>
              <w:rPr/>
              <w:t> </w:t>
            </w:r>
          </w:p>
        </w:tc>
      </w:tr>
      <w:tr>
        <w:trPr/>
        <w:tc>
          <w:tcPr>
            <w:tcW w:w="3659"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5"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both"/>
        <w:rPr>
          <w:rFonts w:ascii="Times New Roman" w:hAnsi="Times New Roman"/>
          <w:sz w:val="20"/>
        </w:rPr>
      </w:pPr>
      <w:r>
        <w:rPr>
          <w:rFonts w:ascii="Times New Roman" w:hAnsi="Times New Roman"/>
          <w:sz w:val="20"/>
        </w:rPr>
        <w:t xml:space="preserve">The following table presents a summary of the changes in the fair value of the Company’s Level 3 financial instruments that are measured at fair value on a recurring basis (in thousands):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5843"/>
        <w:gridCol w:w="839"/>
        <w:gridCol w:w="326"/>
        <w:gridCol w:w="1509"/>
        <w:gridCol w:w="157"/>
      </w:tblGrid>
      <w:tr>
        <w:trPr/>
        <w:tc>
          <w:tcPr>
            <w:tcW w:w="5843" w:type="dxa"/>
            <w:tcBorders/>
            <w:vAlign w:val="center"/>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43"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left"/>
              <w:rPr/>
            </w:pPr>
            <w:r>
              <w:rPr/>
              <w:t>  </w:t>
            </w:r>
          </w:p>
        </w:tc>
        <w:tc>
          <w:tcPr>
            <w:tcW w:w="18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Preferred Stock</w:t>
              <w:br/>
              <w:t>Tranche Liability</w:t>
            </w:r>
          </w:p>
        </w:tc>
        <w:tc>
          <w:tcPr>
            <w:tcW w:w="157" w:type="dxa"/>
            <w:tcBorders/>
            <w:vAlign w:val="bottom"/>
          </w:tcPr>
          <w:p>
            <w:pPr>
              <w:pStyle w:val="TableContents"/>
              <w:bidi w:val="0"/>
              <w:spacing w:before="0" w:after="283"/>
              <w:jc w:val="left"/>
              <w:rPr/>
            </w:pPr>
            <w:r>
              <w:rPr/>
              <w:t> </w:t>
            </w:r>
          </w:p>
        </w:tc>
      </w:tr>
      <w:tr>
        <w:trPr/>
        <w:tc>
          <w:tcPr>
            <w:tcW w:w="584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Fair value as of January 1, 2024</w:t>
            </w:r>
          </w:p>
        </w:tc>
        <w:tc>
          <w:tcPr>
            <w:tcW w:w="839"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w:t>
            </w:r>
          </w:p>
        </w:tc>
        <w:tc>
          <w:tcPr>
            <w:tcW w:w="1509"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5843"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Series B preferred stock liability at issuance</w:t>
            </w:r>
          </w:p>
        </w:tc>
        <w:tc>
          <w:tcPr>
            <w:tcW w:w="839"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509" w:type="dxa"/>
            <w:tcBorders/>
            <w:vAlign w:val="bottom"/>
          </w:tcPr>
          <w:p>
            <w:pPr>
              <w:pStyle w:val="TableContents"/>
              <w:bidi w:val="0"/>
              <w:spacing w:before="0" w:after="283"/>
              <w:jc w:val="right"/>
              <w:rPr/>
            </w:pPr>
            <w:r>
              <w:rPr/>
              <w:t>4,964</w:t>
            </w:r>
          </w:p>
        </w:tc>
        <w:tc>
          <w:tcPr>
            <w:tcW w:w="157" w:type="dxa"/>
            <w:tcBorders/>
            <w:vAlign w:val="bottom"/>
          </w:tcPr>
          <w:p>
            <w:pPr>
              <w:pStyle w:val="TableContents"/>
              <w:bidi w:val="0"/>
              <w:spacing w:before="0" w:after="283"/>
              <w:jc w:val="left"/>
              <w:rPr/>
            </w:pPr>
            <w:r>
              <w:rPr/>
              <w:t> </w:t>
            </w:r>
          </w:p>
        </w:tc>
      </w:tr>
      <w:tr>
        <w:trPr/>
        <w:tc>
          <w:tcPr>
            <w:tcW w:w="58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the fair value of Series B preferred stock tranche liability</w:t>
            </w:r>
          </w:p>
        </w:tc>
        <w:tc>
          <w:tcPr>
            <w:tcW w:w="839"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509" w:type="dxa"/>
            <w:tcBorders/>
            <w:shd w:fill="CCEEFF" w:val="clear"/>
            <w:vAlign w:val="bottom"/>
          </w:tcPr>
          <w:p>
            <w:pPr>
              <w:pStyle w:val="TableContents"/>
              <w:bidi w:val="0"/>
              <w:spacing w:before="0" w:after="283"/>
              <w:jc w:val="right"/>
              <w:rPr/>
            </w:pPr>
            <w:r>
              <w:rPr/>
              <w:t>1,674</w:t>
            </w:r>
          </w:p>
        </w:tc>
        <w:tc>
          <w:tcPr>
            <w:tcW w:w="157" w:type="dxa"/>
            <w:tcBorders/>
            <w:shd w:fill="CCEEFF" w:val="clear"/>
            <w:vAlign w:val="bottom"/>
          </w:tcPr>
          <w:p>
            <w:pPr>
              <w:pStyle w:val="TableContents"/>
              <w:bidi w:val="0"/>
              <w:spacing w:before="0" w:after="283"/>
              <w:jc w:val="left"/>
              <w:rPr/>
            </w:pPr>
            <w:r>
              <w:rPr/>
              <w:t> </w:t>
            </w:r>
          </w:p>
        </w:tc>
      </w:tr>
      <w:tr>
        <w:trPr/>
        <w:tc>
          <w:tcPr>
            <w:tcW w:w="5843" w:type="dxa"/>
            <w:tcBorders/>
            <w:vAlign w:val="bottom"/>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single" w:sz="2" w:space="1" w:color="000000"/>
              </w:pBdr>
              <w:bidi w:val="0"/>
              <w:spacing w:before="0" w:after="0"/>
              <w:jc w:val="left"/>
              <w:rPr/>
            </w:pPr>
            <w:r>
              <w:rPr/>
              <w:t> </w:t>
            </w:r>
          </w:p>
        </w:tc>
        <w:tc>
          <w:tcPr>
            <w:tcW w:w="1509"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843" w:type="dxa"/>
            <w:tcBorders/>
          </w:tcPr>
          <w:p>
            <w:pPr>
              <w:pStyle w:val="TableContents"/>
              <w:bidi w:val="0"/>
              <w:spacing w:before="0" w:after="0"/>
              <w:jc w:val="left"/>
              <w:rPr>
                <w:rFonts w:ascii="Times New Roman" w:hAnsi="Times New Roman"/>
                <w:b/>
                <w:sz w:val="20"/>
              </w:rPr>
            </w:pPr>
            <w:r>
              <w:rPr>
                <w:rFonts w:ascii="Times New Roman" w:hAnsi="Times New Roman"/>
                <w:b/>
                <w:sz w:val="20"/>
              </w:rPr>
              <w:t>Fair value as of December 31, 2024</w:t>
            </w:r>
          </w:p>
        </w:tc>
        <w:tc>
          <w:tcPr>
            <w:tcW w:w="839"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w:t>
            </w:r>
          </w:p>
        </w:tc>
        <w:tc>
          <w:tcPr>
            <w:tcW w:w="1509" w:type="dxa"/>
            <w:tcBorders/>
            <w:vAlign w:val="bottom"/>
          </w:tcPr>
          <w:p>
            <w:pPr>
              <w:pStyle w:val="TableContents"/>
              <w:bidi w:val="0"/>
              <w:spacing w:before="0" w:after="283"/>
              <w:jc w:val="right"/>
              <w:rPr/>
            </w:pPr>
            <w:r>
              <w:rPr/>
              <w:t>6,638</w:t>
            </w:r>
          </w:p>
        </w:tc>
        <w:tc>
          <w:tcPr>
            <w:tcW w:w="157" w:type="dxa"/>
            <w:tcBorders/>
            <w:vAlign w:val="bottom"/>
          </w:tcPr>
          <w:p>
            <w:pPr>
              <w:pStyle w:val="TableContents"/>
              <w:bidi w:val="0"/>
              <w:spacing w:before="0" w:after="283"/>
              <w:jc w:val="left"/>
              <w:rPr/>
            </w:pPr>
            <w:r>
              <w:rPr/>
              <w:t> </w:t>
            </w:r>
          </w:p>
        </w:tc>
      </w:tr>
      <w:tr>
        <w:trPr/>
        <w:tc>
          <w:tcPr>
            <w:tcW w:w="58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the fair value of Series B preferred stock tranche liability</w:t>
            </w:r>
          </w:p>
        </w:tc>
        <w:tc>
          <w:tcPr>
            <w:tcW w:w="839"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509" w:type="dxa"/>
            <w:tcBorders/>
            <w:shd w:fill="CCEEFF" w:val="clear"/>
            <w:vAlign w:val="bottom"/>
          </w:tcPr>
          <w:p>
            <w:pPr>
              <w:pStyle w:val="TableContents"/>
              <w:bidi w:val="0"/>
              <w:spacing w:before="0" w:after="283"/>
              <w:jc w:val="right"/>
              <w:rPr/>
            </w:pPr>
            <w:r>
              <w:rPr/>
              <w:t>170</w:t>
            </w:r>
          </w:p>
        </w:tc>
        <w:tc>
          <w:tcPr>
            <w:tcW w:w="157" w:type="dxa"/>
            <w:tcBorders/>
            <w:shd w:fill="CCEEFF" w:val="clear"/>
            <w:vAlign w:val="bottom"/>
          </w:tcPr>
          <w:p>
            <w:pPr>
              <w:pStyle w:val="TableContents"/>
              <w:bidi w:val="0"/>
              <w:spacing w:before="0" w:after="283"/>
              <w:jc w:val="left"/>
              <w:rPr/>
            </w:pPr>
            <w:r>
              <w:rPr/>
              <w:t> </w:t>
            </w:r>
          </w:p>
        </w:tc>
      </w:tr>
      <w:tr>
        <w:trPr/>
        <w:tc>
          <w:tcPr>
            <w:tcW w:w="5843" w:type="dxa"/>
            <w:tcBorders/>
          </w:tcPr>
          <w:p>
            <w:pPr>
              <w:pStyle w:val="TableContents"/>
              <w:bidi w:val="0"/>
              <w:spacing w:before="0" w:after="0"/>
              <w:jc w:val="left"/>
              <w:rPr>
                <w:rFonts w:ascii="Times New Roman" w:hAnsi="Times New Roman"/>
                <w:sz w:val="20"/>
              </w:rPr>
            </w:pPr>
            <w:r>
              <w:rPr>
                <w:rFonts w:ascii="Times New Roman" w:hAnsi="Times New Roman"/>
                <w:sz w:val="20"/>
              </w:rPr>
              <w:t>Fair value upon settlement</w:t>
            </w:r>
          </w:p>
        </w:tc>
        <w:tc>
          <w:tcPr>
            <w:tcW w:w="839"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509" w:type="dxa"/>
            <w:tcBorders/>
            <w:vAlign w:val="bottom"/>
          </w:tcPr>
          <w:p>
            <w:pPr>
              <w:pStyle w:val="TableContents"/>
              <w:bidi w:val="0"/>
              <w:spacing w:before="0" w:after="283"/>
              <w:jc w:val="right"/>
              <w:rPr/>
            </w:pPr>
            <w:r>
              <w:rPr/>
              <w:t>(6,808</w:t>
            </w:r>
          </w:p>
        </w:tc>
        <w:tc>
          <w:tcPr>
            <w:tcW w:w="157" w:type="dxa"/>
            <w:tcBorders/>
            <w:vAlign w:val="bottom"/>
          </w:tcPr>
          <w:p>
            <w:pPr>
              <w:pStyle w:val="TableContents"/>
              <w:bidi w:val="0"/>
              <w:spacing w:before="0" w:after="283"/>
              <w:jc w:val="left"/>
              <w:rPr/>
            </w:pPr>
            <w:r>
              <w:rPr/>
              <w:t>) </w:t>
            </w:r>
          </w:p>
        </w:tc>
      </w:tr>
      <w:tr>
        <w:trPr/>
        <w:tc>
          <w:tcPr>
            <w:tcW w:w="5843" w:type="dxa"/>
            <w:tcBorders/>
            <w:vAlign w:val="bottom"/>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single" w:sz="2" w:space="1" w:color="000000"/>
              </w:pBdr>
              <w:bidi w:val="0"/>
              <w:spacing w:before="0" w:after="0"/>
              <w:jc w:val="left"/>
              <w:rPr/>
            </w:pPr>
            <w:r>
              <w:rPr/>
              <w:t> </w:t>
            </w:r>
          </w:p>
        </w:tc>
        <w:tc>
          <w:tcPr>
            <w:tcW w:w="1509"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84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Fair value as of December 31, 2025</w:t>
            </w:r>
          </w:p>
        </w:tc>
        <w:tc>
          <w:tcPr>
            <w:tcW w:w="839"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w:t>
            </w:r>
          </w:p>
        </w:tc>
        <w:tc>
          <w:tcPr>
            <w:tcW w:w="1509"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5843" w:type="dxa"/>
            <w:tcBorders/>
            <w:vAlign w:val="bottom"/>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single" w:sz="2" w:space="1" w:color="000000"/>
              </w:pBdr>
              <w:bidi w:val="0"/>
              <w:spacing w:before="0" w:after="0"/>
              <w:jc w:val="left"/>
              <w:rPr/>
            </w:pPr>
            <w:r>
              <w:rPr/>
              <w:t> </w:t>
            </w:r>
          </w:p>
        </w:tc>
        <w:tc>
          <w:tcPr>
            <w:tcW w:w="1509"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fair value of the preferred stock tranche liability is based on significant unobservable inputs, which represent Level 3 measurements within the fair value hierarchy (see Note 8). </w:t>
      </w:r>
    </w:p>
    <w:p>
      <w:pPr>
        <w:pStyle w:val="TextBody"/>
        <w:bidi w:val="0"/>
        <w:spacing w:before="120" w:after="0"/>
        <w:jc w:val="both"/>
        <w:rPr>
          <w:rFonts w:ascii="Times New Roman" w:hAnsi="Times New Roman"/>
          <w:sz w:val="20"/>
        </w:rPr>
      </w:pPr>
      <w:r>
        <w:rPr>
          <w:rFonts w:ascii="Times New Roman" w:hAnsi="Times New Roman"/>
          <w:sz w:val="20"/>
        </w:rPr>
        <w:t xml:space="preserve">There were no transfers in and out of Level 3 during the years ended December 31, 2024 and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Balance Sheet Components </w:t>
            </w:r>
          </w:p>
        </w:tc>
      </w:tr>
    </w:tbl>
    <w:p>
      <w:pPr>
        <w:pStyle w:val="TextBody"/>
        <w:bidi w:val="0"/>
        <w:spacing w:before="120" w:after="0"/>
        <w:jc w:val="left"/>
        <w:rPr>
          <w:rFonts w:ascii="Times New Roman" w:hAnsi="Times New Roman"/>
          <w:b/>
          <w:i/>
          <w:sz w:val="20"/>
        </w:rPr>
      </w:pPr>
      <w:r>
        <w:rPr>
          <w:rFonts w:ascii="Times New Roman" w:hAnsi="Times New Roman"/>
          <w:b/>
          <w:i/>
          <w:sz w:val="20"/>
        </w:rPr>
        <w:t>Marketable Securities</w:t>
      </w:r>
    </w:p>
    <w:p>
      <w:pPr>
        <w:pStyle w:val="TextBody"/>
        <w:bidi w:val="0"/>
        <w:spacing w:before="120" w:after="0"/>
        <w:jc w:val="both"/>
        <w:rPr>
          <w:rFonts w:ascii="Times New Roman" w:hAnsi="Times New Roman"/>
          <w:sz w:val="20"/>
        </w:rPr>
      </w:pPr>
      <w:r>
        <w:rPr>
          <w:rFonts w:ascii="Times New Roman" w:hAnsi="Times New Roman"/>
          <w:sz w:val="20"/>
        </w:rPr>
        <w:t xml:space="preserve">Marketable securities, which are classified as available-for-sale, consisted of the following as of December 31, 2024 and 2025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226"/>
        <w:gridCol w:w="315"/>
        <w:gridCol w:w="163"/>
        <w:gridCol w:w="970"/>
        <w:gridCol w:w="60"/>
        <w:gridCol w:w="315"/>
        <w:gridCol w:w="304"/>
        <w:gridCol w:w="836"/>
        <w:gridCol w:w="60"/>
        <w:gridCol w:w="315"/>
        <w:gridCol w:w="304"/>
        <w:gridCol w:w="836"/>
        <w:gridCol w:w="154"/>
        <w:gridCol w:w="315"/>
        <w:gridCol w:w="166"/>
        <w:gridCol w:w="980"/>
        <w:gridCol w:w="69"/>
      </w:tblGrid>
      <w:tr>
        <w:trPr/>
        <w:tc>
          <w:tcPr>
            <w:tcW w:w="3226"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226"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577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9" w:type="dxa"/>
            <w:tcBorders/>
            <w:vAlign w:val="bottom"/>
          </w:tcPr>
          <w:p>
            <w:pPr>
              <w:pStyle w:val="TableContents"/>
              <w:bidi w:val="0"/>
              <w:spacing w:before="0" w:after="283"/>
              <w:jc w:val="left"/>
              <w:rPr/>
            </w:pPr>
            <w:r>
              <w:rPr/>
              <w:t> </w:t>
            </w:r>
          </w:p>
        </w:tc>
      </w:tr>
      <w:tr>
        <w:trPr/>
        <w:tc>
          <w:tcPr>
            <w:tcW w:w="3226"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1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1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Unrealized</w:t>
              <w:br/>
              <w:t>Gain</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1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Unrealized</w:t>
              <w:br/>
              <w:t>Loss</w:t>
            </w:r>
          </w:p>
        </w:tc>
        <w:tc>
          <w:tcPr>
            <w:tcW w:w="154"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Estimated</w:t>
              <w:br/>
              <w:t>Fair Value</w:t>
            </w:r>
          </w:p>
        </w:tc>
        <w:tc>
          <w:tcPr>
            <w:tcW w:w="69" w:type="dxa"/>
            <w:tcBorders/>
            <w:vAlign w:val="bottom"/>
          </w:tcPr>
          <w:p>
            <w:pPr>
              <w:pStyle w:val="TableContents"/>
              <w:bidi w:val="0"/>
              <w:spacing w:before="0" w:after="283"/>
              <w:jc w:val="left"/>
              <w:rPr/>
            </w:pPr>
            <w:r>
              <w:rPr/>
              <w:t> </w:t>
            </w:r>
          </w:p>
        </w:tc>
      </w:tr>
      <w:tr>
        <w:trPr/>
        <w:tc>
          <w:tcPr>
            <w:tcW w:w="32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Treasury notes</w:t>
            </w:r>
          </w:p>
        </w:tc>
        <w:tc>
          <w:tcPr>
            <w:tcW w:w="31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70" w:type="dxa"/>
            <w:tcBorders/>
            <w:shd w:fill="CCEEFF" w:val="clear"/>
            <w:vAlign w:val="bottom"/>
          </w:tcPr>
          <w:p>
            <w:pPr>
              <w:pStyle w:val="TableContents"/>
              <w:bidi w:val="0"/>
              <w:spacing w:before="0" w:after="283"/>
              <w:jc w:val="right"/>
              <w:rPr/>
            </w:pPr>
            <w:r>
              <w:rPr/>
              <w:t>30,684</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836" w:type="dxa"/>
            <w:tcBorders/>
            <w:shd w:fill="CCEEFF" w:val="clear"/>
            <w:vAlign w:val="bottom"/>
          </w:tcPr>
          <w:p>
            <w:pPr>
              <w:pStyle w:val="TableContents"/>
              <w:bidi w:val="0"/>
              <w:spacing w:before="0" w:after="283"/>
              <w:jc w:val="right"/>
              <w:rPr/>
            </w:pPr>
            <w:r>
              <w:rPr/>
              <w:t>65</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836" w:type="dxa"/>
            <w:tcBorders/>
            <w:shd w:fill="CCEEFF" w:val="clear"/>
            <w:vAlign w:val="bottom"/>
          </w:tcPr>
          <w:p>
            <w:pPr>
              <w:pStyle w:val="TableContents"/>
              <w:bidi w:val="0"/>
              <w:spacing w:before="0" w:after="283"/>
              <w:jc w:val="right"/>
              <w:rPr/>
            </w:pPr>
            <w:r>
              <w:rPr/>
              <w:t>(3</w:t>
            </w:r>
          </w:p>
        </w:tc>
        <w:tc>
          <w:tcPr>
            <w:tcW w:w="154"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30,746</w:t>
            </w:r>
          </w:p>
        </w:tc>
        <w:tc>
          <w:tcPr>
            <w:tcW w:w="69" w:type="dxa"/>
            <w:tcBorders/>
            <w:shd w:fill="CCEEFF" w:val="clear"/>
            <w:vAlign w:val="bottom"/>
          </w:tcPr>
          <w:p>
            <w:pPr>
              <w:pStyle w:val="TableContents"/>
              <w:bidi w:val="0"/>
              <w:spacing w:before="0" w:after="283"/>
              <w:jc w:val="left"/>
              <w:rPr/>
            </w:pPr>
            <w:r>
              <w:rPr/>
              <w:t> </w:t>
            </w:r>
          </w:p>
        </w:tc>
      </w:tr>
      <w:tr>
        <w:trPr/>
        <w:tc>
          <w:tcPr>
            <w:tcW w:w="3226" w:type="dxa"/>
            <w:tcBorders/>
          </w:tcPr>
          <w:p>
            <w:pPr>
              <w:pStyle w:val="TableContents"/>
              <w:bidi w:val="0"/>
              <w:spacing w:before="0" w:after="0"/>
              <w:jc w:val="left"/>
              <w:rPr>
                <w:rFonts w:ascii="Times New Roman" w:hAnsi="Times New Roman"/>
                <w:sz w:val="20"/>
              </w:rPr>
            </w:pPr>
            <w:r>
              <w:rPr>
                <w:rFonts w:ascii="Times New Roman" w:hAnsi="Times New Roman"/>
                <w:sz w:val="20"/>
              </w:rPr>
              <w:t>U.S. Treasury bills</w:t>
            </w:r>
          </w:p>
        </w:tc>
        <w:tc>
          <w:tcPr>
            <w:tcW w:w="31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7,940</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7,945</w:t>
            </w:r>
          </w:p>
        </w:tc>
        <w:tc>
          <w:tcPr>
            <w:tcW w:w="69" w:type="dxa"/>
            <w:tcBorders/>
            <w:vAlign w:val="bottom"/>
          </w:tcPr>
          <w:p>
            <w:pPr>
              <w:pStyle w:val="TableContents"/>
              <w:bidi w:val="0"/>
              <w:spacing w:before="0" w:after="283"/>
              <w:jc w:val="left"/>
              <w:rPr/>
            </w:pPr>
            <w:r>
              <w:rPr/>
              <w:t> </w:t>
            </w:r>
          </w:p>
        </w:tc>
      </w:tr>
      <w:tr>
        <w:trPr/>
        <w:tc>
          <w:tcPr>
            <w:tcW w:w="3226"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8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836"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2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Available-for-sale marketable securities</w:t>
            </w:r>
          </w:p>
        </w:tc>
        <w:tc>
          <w:tcPr>
            <w:tcW w:w="31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70" w:type="dxa"/>
            <w:tcBorders/>
            <w:shd w:fill="CCEEFF" w:val="clear"/>
            <w:vAlign w:val="bottom"/>
          </w:tcPr>
          <w:p>
            <w:pPr>
              <w:pStyle w:val="TableContents"/>
              <w:bidi w:val="0"/>
              <w:spacing w:before="0" w:after="283"/>
              <w:jc w:val="right"/>
              <w:rPr/>
            </w:pPr>
            <w:r>
              <w:rPr/>
              <w:t>38,624</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836" w:type="dxa"/>
            <w:tcBorders/>
            <w:shd w:fill="CCEEFF" w:val="clear"/>
            <w:vAlign w:val="bottom"/>
          </w:tcPr>
          <w:p>
            <w:pPr>
              <w:pStyle w:val="TableContents"/>
              <w:bidi w:val="0"/>
              <w:spacing w:before="0" w:after="283"/>
              <w:jc w:val="right"/>
              <w:rPr/>
            </w:pPr>
            <w:r>
              <w:rPr/>
              <w:t>70</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836" w:type="dxa"/>
            <w:tcBorders/>
            <w:shd w:fill="CCEEFF" w:val="clear"/>
            <w:vAlign w:val="bottom"/>
          </w:tcPr>
          <w:p>
            <w:pPr>
              <w:pStyle w:val="TableContents"/>
              <w:bidi w:val="0"/>
              <w:spacing w:before="0" w:after="283"/>
              <w:jc w:val="right"/>
              <w:rPr/>
            </w:pPr>
            <w:r>
              <w:rPr/>
              <w:t>(3</w:t>
            </w:r>
          </w:p>
        </w:tc>
        <w:tc>
          <w:tcPr>
            <w:tcW w:w="154"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38,691</w:t>
            </w:r>
          </w:p>
        </w:tc>
        <w:tc>
          <w:tcPr>
            <w:tcW w:w="69" w:type="dxa"/>
            <w:tcBorders/>
            <w:shd w:fill="CCEEFF" w:val="clear"/>
            <w:vAlign w:val="bottom"/>
          </w:tcPr>
          <w:p>
            <w:pPr>
              <w:pStyle w:val="TableContents"/>
              <w:bidi w:val="0"/>
              <w:spacing w:before="0" w:after="283"/>
              <w:jc w:val="left"/>
              <w:rPr/>
            </w:pPr>
            <w:r>
              <w:rPr/>
              <w:t> </w:t>
            </w:r>
          </w:p>
        </w:tc>
      </w:tr>
      <w:tr>
        <w:trPr/>
        <w:tc>
          <w:tcPr>
            <w:tcW w:w="3226"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7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double" w:sz="6" w:space="1" w:color="000000"/>
              </w:pBdr>
              <w:bidi w:val="0"/>
              <w:spacing w:before="0" w:after="0"/>
              <w:jc w:val="left"/>
              <w:rPr/>
            </w:pPr>
            <w:r>
              <w:rPr/>
              <w:t> </w:t>
            </w:r>
          </w:p>
        </w:tc>
        <w:tc>
          <w:tcPr>
            <w:tcW w:w="83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double" w:sz="6" w:space="1" w:color="000000"/>
              </w:pBdr>
              <w:bidi w:val="0"/>
              <w:spacing w:before="0" w:after="0"/>
              <w:jc w:val="left"/>
              <w:rPr/>
            </w:pPr>
            <w:r>
              <w:rPr/>
              <w:t> </w:t>
            </w:r>
          </w:p>
        </w:tc>
        <w:tc>
          <w:tcPr>
            <w:tcW w:w="836"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rHeight w:val="240" w:hRule="atLeast"/>
        </w:trPr>
        <w:tc>
          <w:tcPr>
            <w:tcW w:w="3226" w:type="dxa"/>
            <w:tcBorders/>
            <w:vAlign w:val="center"/>
          </w:tcPr>
          <w:p>
            <w:pPr>
              <w:pStyle w:val="TableContents"/>
              <w:bidi w:val="0"/>
              <w:spacing w:before="0" w:after="283"/>
              <w:jc w:val="left"/>
              <w:rPr>
                <w:sz w:val="4"/>
                <w:szCs w:val="4"/>
              </w:rPr>
            </w:pPr>
            <w:r>
              <w:rPr>
                <w:sz w:val="4"/>
                <w:szCs w:val="4"/>
              </w:rPr>
            </w:r>
          </w:p>
        </w:tc>
        <w:tc>
          <w:tcPr>
            <w:tcW w:w="6162" w:type="dxa"/>
            <w:gridSpan w:val="16"/>
            <w:tcBorders/>
            <w:vAlign w:val="center"/>
          </w:tcPr>
          <w:p>
            <w:pPr>
              <w:pStyle w:val="TableContents"/>
              <w:bidi w:val="0"/>
              <w:spacing w:before="0" w:after="283"/>
              <w:jc w:val="left"/>
              <w:rPr>
                <w:sz w:val="4"/>
                <w:szCs w:val="4"/>
              </w:rPr>
            </w:pPr>
            <w:r>
              <w:rPr>
                <w:sz w:val="4"/>
                <w:szCs w:val="4"/>
              </w:rPr>
            </w:r>
          </w:p>
        </w:tc>
      </w:tr>
      <w:tr>
        <w:trPr/>
        <w:tc>
          <w:tcPr>
            <w:tcW w:w="3226"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577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9" w:type="dxa"/>
            <w:tcBorders/>
            <w:vAlign w:val="bottom"/>
          </w:tcPr>
          <w:p>
            <w:pPr>
              <w:pStyle w:val="TableContents"/>
              <w:bidi w:val="0"/>
              <w:spacing w:before="0" w:after="283"/>
              <w:jc w:val="left"/>
              <w:rPr/>
            </w:pPr>
            <w:r>
              <w:rPr/>
              <w:t> </w:t>
            </w:r>
          </w:p>
        </w:tc>
      </w:tr>
      <w:tr>
        <w:trPr/>
        <w:tc>
          <w:tcPr>
            <w:tcW w:w="3226"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1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1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Unrealized</w:t>
              <w:br/>
              <w:t>Gain</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1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Unrealized</w:t>
              <w:br/>
              <w:t>Loss</w:t>
            </w:r>
          </w:p>
        </w:tc>
        <w:tc>
          <w:tcPr>
            <w:tcW w:w="154"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Estimated</w:t>
              <w:br/>
              <w:t>Fair Value</w:t>
            </w:r>
          </w:p>
        </w:tc>
        <w:tc>
          <w:tcPr>
            <w:tcW w:w="69" w:type="dxa"/>
            <w:tcBorders/>
            <w:vAlign w:val="bottom"/>
          </w:tcPr>
          <w:p>
            <w:pPr>
              <w:pStyle w:val="TableContents"/>
              <w:bidi w:val="0"/>
              <w:spacing w:before="0" w:after="283"/>
              <w:jc w:val="left"/>
              <w:rPr/>
            </w:pPr>
            <w:r>
              <w:rPr/>
              <w:t> </w:t>
            </w:r>
          </w:p>
        </w:tc>
      </w:tr>
      <w:tr>
        <w:trPr/>
        <w:tc>
          <w:tcPr>
            <w:tcW w:w="32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Treasury notes</w:t>
            </w:r>
          </w:p>
        </w:tc>
        <w:tc>
          <w:tcPr>
            <w:tcW w:w="31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70" w:type="dxa"/>
            <w:tcBorders/>
            <w:shd w:fill="CCEEFF" w:val="clear"/>
            <w:vAlign w:val="bottom"/>
          </w:tcPr>
          <w:p>
            <w:pPr>
              <w:pStyle w:val="TableContents"/>
              <w:bidi w:val="0"/>
              <w:spacing w:before="0" w:after="283"/>
              <w:jc w:val="right"/>
              <w:rPr/>
            </w:pPr>
            <w:r>
              <w:rPr/>
              <w:t>82,309</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836" w:type="dxa"/>
            <w:tcBorders/>
            <w:shd w:fill="CCEEFF" w:val="clear"/>
            <w:vAlign w:val="bottom"/>
          </w:tcPr>
          <w:p>
            <w:pPr>
              <w:pStyle w:val="TableContents"/>
              <w:bidi w:val="0"/>
              <w:spacing w:before="0" w:after="283"/>
              <w:jc w:val="right"/>
              <w:rPr/>
            </w:pPr>
            <w:r>
              <w:rPr/>
              <w:t>89</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836" w:type="dxa"/>
            <w:tcBorders/>
            <w:shd w:fill="CCEEFF" w:val="clear"/>
            <w:vAlign w:val="bottom"/>
          </w:tcPr>
          <w:p>
            <w:pPr>
              <w:pStyle w:val="TableContents"/>
              <w:bidi w:val="0"/>
              <w:spacing w:before="0" w:after="283"/>
              <w:jc w:val="right"/>
              <w:rPr/>
            </w:pPr>
            <w:r>
              <w:rPr/>
              <w:t>(1</w:t>
            </w:r>
          </w:p>
        </w:tc>
        <w:tc>
          <w:tcPr>
            <w:tcW w:w="154"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82,397</w:t>
            </w:r>
          </w:p>
        </w:tc>
        <w:tc>
          <w:tcPr>
            <w:tcW w:w="69" w:type="dxa"/>
            <w:tcBorders/>
            <w:shd w:fill="CCEEFF" w:val="clear"/>
            <w:vAlign w:val="bottom"/>
          </w:tcPr>
          <w:p>
            <w:pPr>
              <w:pStyle w:val="TableContents"/>
              <w:bidi w:val="0"/>
              <w:spacing w:before="0" w:after="283"/>
              <w:jc w:val="left"/>
              <w:rPr/>
            </w:pPr>
            <w:r>
              <w:rPr/>
              <w:t> </w:t>
            </w:r>
          </w:p>
        </w:tc>
      </w:tr>
      <w:tr>
        <w:trPr/>
        <w:tc>
          <w:tcPr>
            <w:tcW w:w="3226" w:type="dxa"/>
            <w:tcBorders/>
          </w:tcPr>
          <w:p>
            <w:pPr>
              <w:pStyle w:val="TableContents"/>
              <w:bidi w:val="0"/>
              <w:spacing w:before="0" w:after="0"/>
              <w:jc w:val="left"/>
              <w:rPr>
                <w:rFonts w:ascii="Times New Roman" w:hAnsi="Times New Roman"/>
                <w:sz w:val="20"/>
              </w:rPr>
            </w:pPr>
            <w:r>
              <w:rPr>
                <w:rFonts w:ascii="Times New Roman" w:hAnsi="Times New Roman"/>
                <w:sz w:val="20"/>
              </w:rPr>
              <w:t>U.S. Treasury bills</w:t>
            </w:r>
          </w:p>
        </w:tc>
        <w:tc>
          <w:tcPr>
            <w:tcW w:w="31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29,667</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29,678</w:t>
            </w:r>
          </w:p>
        </w:tc>
        <w:tc>
          <w:tcPr>
            <w:tcW w:w="69" w:type="dxa"/>
            <w:tcBorders/>
            <w:vAlign w:val="bottom"/>
          </w:tcPr>
          <w:p>
            <w:pPr>
              <w:pStyle w:val="TableContents"/>
              <w:bidi w:val="0"/>
              <w:spacing w:before="0" w:after="283"/>
              <w:jc w:val="left"/>
              <w:rPr/>
            </w:pPr>
            <w:r>
              <w:rPr/>
              <w:t> </w:t>
            </w:r>
          </w:p>
        </w:tc>
      </w:tr>
      <w:tr>
        <w:trPr/>
        <w:tc>
          <w:tcPr>
            <w:tcW w:w="3226"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8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836"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2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Available-for-sale marketable securities</w:t>
            </w:r>
          </w:p>
        </w:tc>
        <w:tc>
          <w:tcPr>
            <w:tcW w:w="31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70" w:type="dxa"/>
            <w:tcBorders/>
            <w:shd w:fill="CCEEFF" w:val="clear"/>
            <w:vAlign w:val="bottom"/>
          </w:tcPr>
          <w:p>
            <w:pPr>
              <w:pStyle w:val="TableContents"/>
              <w:bidi w:val="0"/>
              <w:spacing w:before="0" w:after="283"/>
              <w:jc w:val="right"/>
              <w:rPr/>
            </w:pPr>
            <w:r>
              <w:rPr/>
              <w:t>111,976</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836"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836" w:type="dxa"/>
            <w:tcBorders/>
            <w:shd w:fill="CCEEFF" w:val="clear"/>
            <w:vAlign w:val="bottom"/>
          </w:tcPr>
          <w:p>
            <w:pPr>
              <w:pStyle w:val="TableContents"/>
              <w:bidi w:val="0"/>
              <w:spacing w:before="0" w:after="283"/>
              <w:jc w:val="right"/>
              <w:rPr/>
            </w:pPr>
            <w:r>
              <w:rPr/>
              <w:t>(1</w:t>
            </w:r>
          </w:p>
        </w:tc>
        <w:tc>
          <w:tcPr>
            <w:tcW w:w="154"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112,075</w:t>
            </w:r>
          </w:p>
        </w:tc>
        <w:tc>
          <w:tcPr>
            <w:tcW w:w="69" w:type="dxa"/>
            <w:tcBorders/>
            <w:shd w:fill="CCEEFF" w:val="clear"/>
            <w:vAlign w:val="bottom"/>
          </w:tcPr>
          <w:p>
            <w:pPr>
              <w:pStyle w:val="TableContents"/>
              <w:bidi w:val="0"/>
              <w:spacing w:before="0" w:after="283"/>
              <w:jc w:val="left"/>
              <w:rPr/>
            </w:pPr>
            <w:r>
              <w:rPr/>
              <w:t> </w:t>
            </w:r>
          </w:p>
        </w:tc>
      </w:tr>
      <w:tr>
        <w:trPr/>
        <w:tc>
          <w:tcPr>
            <w:tcW w:w="3226"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7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double" w:sz="6" w:space="1" w:color="000000"/>
              </w:pBdr>
              <w:bidi w:val="0"/>
              <w:spacing w:before="0" w:after="0"/>
              <w:jc w:val="left"/>
              <w:rPr/>
            </w:pPr>
            <w:r>
              <w:rPr/>
              <w:t> </w:t>
            </w:r>
          </w:p>
        </w:tc>
        <w:tc>
          <w:tcPr>
            <w:tcW w:w="83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double" w:sz="6" w:space="1" w:color="000000"/>
              </w:pBdr>
              <w:bidi w:val="0"/>
              <w:spacing w:before="0" w:after="0"/>
              <w:jc w:val="left"/>
              <w:rPr/>
            </w:pPr>
            <w:r>
              <w:rPr/>
              <w:t> </w:t>
            </w:r>
          </w:p>
        </w:tc>
        <w:tc>
          <w:tcPr>
            <w:tcW w:w="836"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All marketable securities held as of December 31, 2024 and 2025 had contractual maturities of less than one year. </w:t>
      </w:r>
    </w:p>
    <w:p>
      <w:pPr>
        <w:pStyle w:val="TextBody"/>
        <w:bidi w:val="0"/>
        <w:spacing w:before="120" w:after="0"/>
        <w:jc w:val="both"/>
        <w:rPr>
          <w:rFonts w:ascii="Times New Roman" w:hAnsi="Times New Roman"/>
          <w:sz w:val="20"/>
        </w:rPr>
      </w:pPr>
      <w:r>
        <w:rPr>
          <w:rFonts w:ascii="Times New Roman" w:hAnsi="Times New Roman"/>
          <w:sz w:val="20"/>
        </w:rPr>
        <w:t xml:space="preserve">As of December 31, 2024 and 2025, no significant facts or circumstances were present to indicate a deterioration in the creditworthiness of the issuers of the marketable securities, and the Company has no requirement or intention to sell these securities before maturity or recovery of their amortized cost basis. The Company considered the current and expected future economic and market conditions and determined that its investments were not significantly impacted. For all securities with a fair value less than their amortized cost basis, the Company determined the decline in fair value below amortized cost basis to be immaterial and non-credit related, and therefore no allowance for losses has been recorded. For the years ended December 31, 2024 and 2025, the Company did not recognize any impairment losses on its investments. </w:t>
      </w:r>
    </w:p>
    <w:p>
      <w:pPr>
        <w:pStyle w:val="TextBody"/>
        <w:bidi w:val="0"/>
        <w:spacing w:before="120" w:after="0"/>
        <w:jc w:val="both"/>
        <w:rPr>
          <w:rFonts w:ascii="Times New Roman" w:hAnsi="Times New Roman"/>
          <w:sz w:val="20"/>
        </w:rPr>
      </w:pPr>
      <w:r>
        <w:rPr>
          <w:rFonts w:ascii="Times New Roman" w:hAnsi="Times New Roman"/>
          <w:sz w:val="20"/>
        </w:rPr>
        <w:t xml:space="preserve">As of December 31, 2024 and 2025, accrued interest receivable was $0.1 million and $0.9 million, respectively, which were recorded in the prepaid expenses and other current assets on the consolidated balance sheets.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Property and Equipment, Net </w:t>
      </w:r>
    </w:p>
    <w:p>
      <w:pPr>
        <w:pStyle w:val="TextBody"/>
        <w:bidi w:val="0"/>
        <w:spacing w:before="120" w:after="0"/>
        <w:jc w:val="both"/>
        <w:rPr>
          <w:rFonts w:ascii="Times New Roman" w:hAnsi="Times New Roman"/>
          <w:sz w:val="20"/>
        </w:rPr>
      </w:pPr>
      <w:r>
        <w:rPr>
          <w:rFonts w:ascii="Times New Roman" w:hAnsi="Times New Roman"/>
          <w:sz w:val="20"/>
        </w:rPr>
        <w:t xml:space="preserve">Property and equipment, net consisted of the following (in thousands, except years):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2535"/>
        <w:gridCol w:w="237"/>
        <w:gridCol w:w="60"/>
        <w:gridCol w:w="3458"/>
        <w:gridCol w:w="60"/>
        <w:gridCol w:w="237"/>
        <w:gridCol w:w="144"/>
        <w:gridCol w:w="576"/>
        <w:gridCol w:w="155"/>
        <w:gridCol w:w="236"/>
        <w:gridCol w:w="144"/>
        <w:gridCol w:w="670"/>
        <w:gridCol w:w="162"/>
      </w:tblGrid>
      <w:tr>
        <w:trPr/>
        <w:tc>
          <w:tcPr>
            <w:tcW w:w="2535"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35" w:type="dxa"/>
            <w:tcBorders/>
            <w:vAlign w:val="bottom"/>
          </w:tcPr>
          <w:p>
            <w:pPr>
              <w:pStyle w:val="TableContents"/>
              <w:bidi w:val="0"/>
              <w:spacing w:before="0" w:after="283"/>
              <w:jc w:val="left"/>
              <w:rPr/>
            </w:pPr>
            <w:r>
              <w:rPr/>
              <w:t> </w:t>
            </w:r>
          </w:p>
        </w:tc>
        <w:tc>
          <w:tcPr>
            <w:tcW w:w="237" w:type="dxa"/>
            <w:vMerge w:val="restart"/>
            <w:tcBorders/>
            <w:vAlign w:val="bottom"/>
          </w:tcPr>
          <w:p>
            <w:pPr>
              <w:pStyle w:val="TableContents"/>
              <w:bidi w:val="0"/>
              <w:spacing w:before="0" w:after="283"/>
              <w:jc w:val="left"/>
              <w:rPr/>
            </w:pPr>
            <w:r>
              <w:rPr/>
              <w:t>  </w:t>
            </w:r>
          </w:p>
        </w:tc>
        <w:tc>
          <w:tcPr>
            <w:tcW w:w="3518"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 xml:space="preserve">Estimated Useful Life </w:t>
            </w:r>
            <w:r>
              <w:rPr/>
              <w:br/>
            </w:r>
            <w:r>
              <w:rPr>
                <w:b/>
              </w:rPr>
              <w:t>(in years)</w:t>
            </w:r>
          </w:p>
        </w:tc>
        <w:tc>
          <w:tcPr>
            <w:tcW w:w="60" w:type="dxa"/>
            <w:vMerge w:val="restart"/>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9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2" w:type="dxa"/>
            <w:tcBorders/>
            <w:vAlign w:val="bottom"/>
          </w:tcPr>
          <w:p>
            <w:pPr>
              <w:pStyle w:val="TableContents"/>
              <w:bidi w:val="0"/>
              <w:spacing w:before="0" w:after="283"/>
              <w:jc w:val="left"/>
              <w:rPr/>
            </w:pPr>
            <w:r>
              <w:rPr/>
              <w:t> </w:t>
            </w:r>
          </w:p>
        </w:tc>
      </w:tr>
      <w:tr>
        <w:trPr/>
        <w:tc>
          <w:tcPr>
            <w:tcW w:w="2535" w:type="dxa"/>
            <w:tcBorders/>
            <w:vAlign w:val="bottom"/>
          </w:tcPr>
          <w:p>
            <w:pPr>
              <w:pStyle w:val="TableContents"/>
              <w:bidi w:val="0"/>
              <w:spacing w:before="0" w:after="283"/>
              <w:jc w:val="left"/>
              <w:rPr/>
            </w:pPr>
            <w:r>
              <w:rPr/>
              <w:t> </w:t>
            </w:r>
          </w:p>
        </w:tc>
        <w:tc>
          <w:tcPr>
            <w:tcW w:w="237" w:type="dxa"/>
            <w:vMerge w:val="continue"/>
            <w:tcBorders/>
            <w:vAlign w:val="bottom"/>
          </w:tcPr>
          <w:p>
            <w:pPr>
              <w:pStyle w:val="Normal"/>
              <w:bidi w:val="0"/>
              <w:jc w:val="left"/>
              <w:rPr/>
            </w:pPr>
            <w:r>
              <w:rPr/>
            </w:r>
          </w:p>
        </w:tc>
        <w:tc>
          <w:tcPr>
            <w:tcW w:w="3518"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37" w:type="dxa"/>
            <w:tcBorders/>
            <w:vAlign w:val="bottom"/>
          </w:tcPr>
          <w:p>
            <w:pPr>
              <w:pStyle w:val="TableContents"/>
              <w:bidi w:val="0"/>
              <w:spacing w:before="0" w:after="283"/>
              <w:jc w:val="left"/>
              <w:rPr/>
            </w:pPr>
            <w:r>
              <w:rPr/>
              <w:t>  </w:t>
            </w:r>
          </w:p>
        </w:tc>
        <w:tc>
          <w:tcPr>
            <w:tcW w:w="7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8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2" w:type="dxa"/>
            <w:tcBorders/>
            <w:vAlign w:val="bottom"/>
          </w:tcPr>
          <w:p>
            <w:pPr>
              <w:pStyle w:val="TableContents"/>
              <w:bidi w:val="0"/>
              <w:spacing w:before="0" w:after="283"/>
              <w:jc w:val="left"/>
              <w:rPr/>
            </w:pPr>
            <w:r>
              <w:rPr/>
              <w:t> </w:t>
            </w:r>
          </w:p>
        </w:tc>
      </w:tr>
      <w:tr>
        <w:trPr/>
        <w:tc>
          <w:tcPr>
            <w:tcW w:w="2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Laboratory equipment</w:t>
            </w:r>
          </w:p>
        </w:tc>
        <w:tc>
          <w:tcPr>
            <w:tcW w:w="2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58" w:type="dxa"/>
            <w:tcBorders/>
            <w:shd w:fill="CCEEFF" w:val="clear"/>
            <w:vAlign w:val="bottom"/>
          </w:tcPr>
          <w:p>
            <w:pPr>
              <w:pStyle w:val="TableContents"/>
              <w:bidi w:val="0"/>
              <w:spacing w:before="0" w:after="283"/>
              <w:jc w:val="center"/>
              <w:rPr/>
            </w:pPr>
            <w:r>
              <w:rPr/>
              <w:t>5</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576" w:type="dxa"/>
            <w:tcBorders/>
            <w:shd w:fill="CCEEFF" w:val="clear"/>
            <w:vAlign w:val="bottom"/>
          </w:tcPr>
          <w:p>
            <w:pPr>
              <w:pStyle w:val="TableContents"/>
              <w:bidi w:val="0"/>
              <w:spacing w:before="0" w:after="283"/>
              <w:jc w:val="right"/>
              <w:rPr/>
            </w:pPr>
            <w:r>
              <w:rPr/>
              <w:t>1,820</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670" w:type="dxa"/>
            <w:tcBorders/>
            <w:shd w:fill="CCEEFF" w:val="clear"/>
            <w:vAlign w:val="bottom"/>
          </w:tcPr>
          <w:p>
            <w:pPr>
              <w:pStyle w:val="TableContents"/>
              <w:bidi w:val="0"/>
              <w:spacing w:before="0" w:after="283"/>
              <w:jc w:val="right"/>
              <w:rPr/>
            </w:pPr>
            <w:r>
              <w:rPr/>
              <w:t>3,907</w:t>
            </w:r>
          </w:p>
        </w:tc>
        <w:tc>
          <w:tcPr>
            <w:tcW w:w="162" w:type="dxa"/>
            <w:tcBorders/>
            <w:shd w:fill="CCEEFF" w:val="clear"/>
            <w:vAlign w:val="bottom"/>
          </w:tcPr>
          <w:p>
            <w:pPr>
              <w:pStyle w:val="TableContents"/>
              <w:bidi w:val="0"/>
              <w:spacing w:before="0" w:after="283"/>
              <w:jc w:val="left"/>
              <w:rPr/>
            </w:pPr>
            <w:r>
              <w:rPr/>
              <w:t> </w:t>
            </w:r>
          </w:p>
        </w:tc>
      </w:tr>
      <w:tr>
        <w:trPr/>
        <w:tc>
          <w:tcPr>
            <w:tcW w:w="2535" w:type="dxa"/>
            <w:tcBorders/>
          </w:tcPr>
          <w:p>
            <w:pPr>
              <w:pStyle w:val="TableContents"/>
              <w:bidi w:val="0"/>
              <w:spacing w:before="0" w:after="0"/>
              <w:jc w:val="left"/>
              <w:rPr>
                <w:rFonts w:ascii="Times New Roman" w:hAnsi="Times New Roman"/>
                <w:sz w:val="20"/>
              </w:rPr>
            </w:pPr>
            <w:r>
              <w:rPr>
                <w:rFonts w:ascii="Times New Roman" w:hAnsi="Times New Roman"/>
                <w:sz w:val="20"/>
              </w:rPr>
              <w:t>Computer equipment and software</w:t>
            </w:r>
          </w:p>
        </w:tc>
        <w:tc>
          <w:tcPr>
            <w:tcW w:w="2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58" w:type="dxa"/>
            <w:tcBorders/>
            <w:vAlign w:val="bottom"/>
          </w:tcPr>
          <w:p>
            <w:pPr>
              <w:pStyle w:val="TableContents"/>
              <w:bidi w:val="0"/>
              <w:spacing w:before="0" w:after="283"/>
              <w:jc w:val="center"/>
              <w:rPr/>
            </w:pPr>
            <w:r>
              <w:rPr/>
              <w:t>3</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right"/>
              <w:rPr/>
            </w:pPr>
            <w:r>
              <w:rPr/>
              <w:t>139</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245</w:t>
            </w:r>
          </w:p>
        </w:tc>
        <w:tc>
          <w:tcPr>
            <w:tcW w:w="162" w:type="dxa"/>
            <w:tcBorders/>
            <w:vAlign w:val="bottom"/>
          </w:tcPr>
          <w:p>
            <w:pPr>
              <w:pStyle w:val="TableContents"/>
              <w:bidi w:val="0"/>
              <w:spacing w:before="0" w:after="283"/>
              <w:jc w:val="left"/>
              <w:rPr/>
            </w:pPr>
            <w:r>
              <w:rPr/>
              <w:t> </w:t>
            </w:r>
          </w:p>
        </w:tc>
      </w:tr>
      <w:tr>
        <w:trPr/>
        <w:tc>
          <w:tcPr>
            <w:tcW w:w="2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2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58" w:type="dxa"/>
            <w:tcBorders/>
            <w:shd w:fill="CCEEFF" w:val="clear"/>
            <w:vAlign w:val="bottom"/>
          </w:tcPr>
          <w:p>
            <w:pPr>
              <w:pStyle w:val="TableContents"/>
              <w:bidi w:val="0"/>
              <w:spacing w:before="0" w:after="283"/>
              <w:jc w:val="center"/>
              <w:rPr/>
            </w:pPr>
            <w:r>
              <w:rPr/>
              <w:t>7</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273</w:t>
            </w:r>
          </w:p>
        </w:tc>
        <w:tc>
          <w:tcPr>
            <w:tcW w:w="162" w:type="dxa"/>
            <w:tcBorders/>
            <w:shd w:fill="CCEEFF" w:val="clear"/>
            <w:vAlign w:val="bottom"/>
          </w:tcPr>
          <w:p>
            <w:pPr>
              <w:pStyle w:val="TableContents"/>
              <w:bidi w:val="0"/>
              <w:spacing w:before="0" w:after="283"/>
              <w:jc w:val="left"/>
              <w:rPr/>
            </w:pPr>
            <w:r>
              <w:rPr/>
              <w:t> </w:t>
            </w:r>
          </w:p>
        </w:tc>
      </w:tr>
      <w:tr>
        <w:trPr/>
        <w:tc>
          <w:tcPr>
            <w:tcW w:w="2535" w:type="dxa"/>
            <w:tcBorders/>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2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58" w:type="dxa"/>
            <w:tcBorders/>
            <w:vAlign w:val="bottom"/>
          </w:tcPr>
          <w:p>
            <w:pPr>
              <w:pStyle w:val="TableContents"/>
              <w:bidi w:val="0"/>
              <w:spacing w:before="0" w:after="283"/>
              <w:jc w:val="center"/>
              <w:rPr/>
            </w:pPr>
            <w:r>
              <w:rPr/>
              <w:t>Lesser of estimated useful lives of</w:t>
              <w:br/>
              <w:t>15 years or remaining lease term</w:t>
            </w:r>
          </w:p>
        </w:tc>
        <w:tc>
          <w:tcPr>
            <w:tcW w:w="60" w:type="dxa"/>
            <w:tcBorders/>
            <w:vAlign w:val="bottom"/>
          </w:tcPr>
          <w:p>
            <w:pPr>
              <w:pStyle w:val="TableContents"/>
              <w:bidi w:val="0"/>
              <w:spacing w:before="0" w:after="283"/>
              <w:jc w:val="left"/>
              <w:rPr/>
            </w:pPr>
            <w:r>
              <w:rPr/>
              <w:t> </w:t>
            </w:r>
            <w:r>
              <w:rPr/>
              <w:br/>
              <w:t> </w:t>
            </w:r>
          </w:p>
        </w:tc>
        <w:tc>
          <w:tcPr>
            <w:tcW w:w="23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136</w:t>
            </w:r>
          </w:p>
        </w:tc>
        <w:tc>
          <w:tcPr>
            <w:tcW w:w="162" w:type="dxa"/>
            <w:tcBorders/>
            <w:vAlign w:val="bottom"/>
          </w:tcPr>
          <w:p>
            <w:pPr>
              <w:pStyle w:val="TableContents"/>
              <w:bidi w:val="0"/>
              <w:spacing w:before="0" w:after="283"/>
              <w:jc w:val="left"/>
              <w:rPr/>
            </w:pPr>
            <w:r>
              <w:rPr/>
              <w:t> </w:t>
            </w:r>
          </w:p>
        </w:tc>
      </w:tr>
      <w:tr>
        <w:trPr/>
        <w:tc>
          <w:tcPr>
            <w:tcW w:w="2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2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pPr>
            <w:r>
              <w:rPr/>
              <w:t>1,570</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28</w:t>
            </w:r>
          </w:p>
        </w:tc>
        <w:tc>
          <w:tcPr>
            <w:tcW w:w="162" w:type="dxa"/>
            <w:tcBorders/>
            <w:shd w:fill="CCEEFF" w:val="clear"/>
            <w:vAlign w:val="bottom"/>
          </w:tcPr>
          <w:p>
            <w:pPr>
              <w:pStyle w:val="TableContents"/>
              <w:bidi w:val="0"/>
              <w:spacing w:before="0" w:after="283"/>
              <w:jc w:val="left"/>
              <w:rPr/>
            </w:pPr>
            <w:r>
              <w:rPr/>
              <w:t> </w:t>
            </w:r>
          </w:p>
        </w:tc>
      </w:tr>
      <w:tr>
        <w:trPr/>
        <w:tc>
          <w:tcPr>
            <w:tcW w:w="2535"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4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5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535" w:type="dxa"/>
            <w:tcBorders/>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4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right"/>
              <w:rPr/>
            </w:pPr>
            <w:r>
              <w:rPr/>
              <w:t>3,529</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4,589</w:t>
            </w:r>
          </w:p>
        </w:tc>
        <w:tc>
          <w:tcPr>
            <w:tcW w:w="162" w:type="dxa"/>
            <w:tcBorders/>
            <w:vAlign w:val="bottom"/>
          </w:tcPr>
          <w:p>
            <w:pPr>
              <w:pStyle w:val="TableContents"/>
              <w:bidi w:val="0"/>
              <w:spacing w:before="0" w:after="283"/>
              <w:jc w:val="left"/>
              <w:rPr/>
            </w:pPr>
            <w:r>
              <w:rPr/>
              <w:t> </w:t>
            </w:r>
          </w:p>
        </w:tc>
      </w:tr>
      <w:tr>
        <w:trPr/>
        <w:tc>
          <w:tcPr>
            <w:tcW w:w="2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2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pPr>
            <w:r>
              <w:rPr/>
              <w:t>(295</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(1,097</w:t>
            </w:r>
          </w:p>
        </w:tc>
        <w:tc>
          <w:tcPr>
            <w:tcW w:w="162" w:type="dxa"/>
            <w:tcBorders/>
            <w:shd w:fill="CCEEFF" w:val="clear"/>
            <w:vAlign w:val="bottom"/>
          </w:tcPr>
          <w:p>
            <w:pPr>
              <w:pStyle w:val="TableContents"/>
              <w:bidi w:val="0"/>
              <w:spacing w:before="0" w:after="283"/>
              <w:jc w:val="left"/>
              <w:rPr/>
            </w:pPr>
            <w:r>
              <w:rPr/>
              <w:t>) </w:t>
            </w:r>
          </w:p>
        </w:tc>
      </w:tr>
      <w:tr>
        <w:trPr/>
        <w:tc>
          <w:tcPr>
            <w:tcW w:w="2535"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4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5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535"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4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576" w:type="dxa"/>
            <w:tcBorders/>
            <w:vAlign w:val="bottom"/>
          </w:tcPr>
          <w:p>
            <w:pPr>
              <w:pStyle w:val="TableContents"/>
              <w:bidi w:val="0"/>
              <w:spacing w:before="0" w:after="283"/>
              <w:jc w:val="right"/>
              <w:rPr/>
            </w:pPr>
            <w:r>
              <w:rPr/>
              <w:t>3,234</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670" w:type="dxa"/>
            <w:tcBorders/>
            <w:vAlign w:val="bottom"/>
          </w:tcPr>
          <w:p>
            <w:pPr>
              <w:pStyle w:val="TableContents"/>
              <w:bidi w:val="0"/>
              <w:spacing w:before="0" w:after="283"/>
              <w:jc w:val="right"/>
              <w:rPr/>
            </w:pPr>
            <w:r>
              <w:rPr/>
              <w:t>3,492</w:t>
            </w:r>
          </w:p>
        </w:tc>
        <w:tc>
          <w:tcPr>
            <w:tcW w:w="162" w:type="dxa"/>
            <w:tcBorders/>
            <w:vAlign w:val="bottom"/>
          </w:tcPr>
          <w:p>
            <w:pPr>
              <w:pStyle w:val="TableContents"/>
              <w:bidi w:val="0"/>
              <w:spacing w:before="0" w:after="283"/>
              <w:jc w:val="left"/>
              <w:rPr/>
            </w:pPr>
            <w:r>
              <w:rPr/>
              <w:t> </w:t>
            </w:r>
          </w:p>
        </w:tc>
      </w:tr>
      <w:tr>
        <w:trPr/>
        <w:tc>
          <w:tcPr>
            <w:tcW w:w="2535"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4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57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67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120" w:after="0"/>
        <w:jc w:val="both"/>
        <w:rPr>
          <w:rFonts w:ascii="Times New Roman" w:hAnsi="Times New Roman"/>
          <w:sz w:val="20"/>
        </w:rPr>
      </w:pPr>
      <w:r>
        <w:rPr>
          <w:rFonts w:ascii="Times New Roman" w:hAnsi="Times New Roman"/>
          <w:sz w:val="20"/>
        </w:rPr>
        <w:t xml:space="preserve">Depreciation and amortization expense for the years ended December 31, 2024 and 2025 were $0.3 million and $0.8 million, respectively. </w:t>
      </w:r>
    </w:p>
    <w:p>
      <w:pPr>
        <w:pStyle w:val="TextBody"/>
        <w:bidi w:val="0"/>
        <w:spacing w:before="120" w:after="0"/>
        <w:jc w:val="left"/>
        <w:rPr>
          <w:rFonts w:ascii="Times New Roman" w:hAnsi="Times New Roman"/>
          <w:b/>
          <w:i/>
          <w:sz w:val="20"/>
        </w:rPr>
      </w:pPr>
      <w:r>
        <w:rPr>
          <w:rFonts w:ascii="Times New Roman" w:hAnsi="Times New Roman"/>
          <w:b/>
          <w:i/>
          <w:sz w:val="20"/>
        </w:rPr>
        <w:t xml:space="preserve">Accrued Expenses and Other Current Liabilities </w:t>
      </w:r>
    </w:p>
    <w:p>
      <w:pPr>
        <w:pStyle w:val="TextBody"/>
        <w:bidi w:val="0"/>
        <w:spacing w:before="120" w:after="0"/>
        <w:jc w:val="both"/>
        <w:rPr>
          <w:rFonts w:ascii="Times New Roman" w:hAnsi="Times New Roman"/>
          <w:sz w:val="20"/>
        </w:rPr>
      </w:pPr>
      <w:r>
        <w:rPr>
          <w:rFonts w:ascii="Times New Roman" w:hAnsi="Times New Roman"/>
          <w:sz w:val="20"/>
        </w:rPr>
        <w:t xml:space="preserve">Accrued expenses and other current liabilities consisted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56"/>
        <w:gridCol w:w="376"/>
        <w:gridCol w:w="142"/>
        <w:gridCol w:w="570"/>
        <w:gridCol w:w="60"/>
        <w:gridCol w:w="376"/>
        <w:gridCol w:w="142"/>
        <w:gridCol w:w="570"/>
        <w:gridCol w:w="63"/>
      </w:tblGrid>
      <w:tr>
        <w:trPr/>
        <w:tc>
          <w:tcPr>
            <w:tcW w:w="5456"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5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86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3" w:type="dxa"/>
            <w:tcBorders/>
            <w:vAlign w:val="bottom"/>
          </w:tcPr>
          <w:p>
            <w:pPr>
              <w:pStyle w:val="TableContents"/>
              <w:bidi w:val="0"/>
              <w:spacing w:before="0" w:after="283"/>
              <w:jc w:val="left"/>
              <w:rPr/>
            </w:pPr>
            <w:r>
              <w:rPr/>
              <w:t> </w:t>
            </w:r>
          </w:p>
        </w:tc>
      </w:tr>
      <w:tr>
        <w:trPr/>
        <w:tc>
          <w:tcPr>
            <w:tcW w:w="545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3" w:type="dxa"/>
            <w:tcBorders/>
            <w:vAlign w:val="bottom"/>
          </w:tcPr>
          <w:p>
            <w:pPr>
              <w:pStyle w:val="TableContents"/>
              <w:bidi w:val="0"/>
              <w:spacing w:before="0" w:after="283"/>
              <w:jc w:val="left"/>
              <w:rPr/>
            </w:pPr>
            <w:r>
              <w:rPr/>
              <w:t> </w:t>
            </w:r>
          </w:p>
        </w:tc>
      </w:tr>
      <w:tr>
        <w:trPr/>
        <w:tc>
          <w:tcPr>
            <w:tcW w:w="54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compensation</w:t>
            </w:r>
          </w:p>
        </w:tc>
        <w:tc>
          <w:tcPr>
            <w:tcW w:w="37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0" w:type="dxa"/>
            <w:tcBorders/>
            <w:shd w:fill="CCEEFF" w:val="clear"/>
            <w:vAlign w:val="bottom"/>
          </w:tcPr>
          <w:p>
            <w:pPr>
              <w:pStyle w:val="TableContents"/>
              <w:bidi w:val="0"/>
              <w:spacing w:before="0" w:after="283"/>
              <w:jc w:val="right"/>
              <w:rPr/>
            </w:pPr>
            <w:r>
              <w:rPr/>
              <w:t>2,064</w:t>
            </w:r>
          </w:p>
        </w:tc>
        <w:tc>
          <w:tcPr>
            <w:tcW w:w="6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0" w:type="dxa"/>
            <w:tcBorders/>
            <w:shd w:fill="CCEEFF" w:val="clear"/>
            <w:vAlign w:val="bottom"/>
          </w:tcPr>
          <w:p>
            <w:pPr>
              <w:pStyle w:val="TableContents"/>
              <w:bidi w:val="0"/>
              <w:spacing w:before="0" w:after="283"/>
              <w:jc w:val="right"/>
              <w:rPr/>
            </w:pPr>
            <w:r>
              <w:rPr/>
              <w:t>3,103</w:t>
            </w:r>
          </w:p>
        </w:tc>
        <w:tc>
          <w:tcPr>
            <w:tcW w:w="63" w:type="dxa"/>
            <w:tcBorders/>
            <w:shd w:fill="CCEEFF" w:val="clear"/>
            <w:vAlign w:val="bottom"/>
          </w:tcPr>
          <w:p>
            <w:pPr>
              <w:pStyle w:val="TableContents"/>
              <w:bidi w:val="0"/>
              <w:spacing w:before="0" w:after="283"/>
              <w:jc w:val="left"/>
              <w:rPr/>
            </w:pPr>
            <w:r>
              <w:rPr/>
              <w:t> </w:t>
            </w:r>
          </w:p>
        </w:tc>
      </w:tr>
      <w:tr>
        <w:trPr/>
        <w:tc>
          <w:tcPr>
            <w:tcW w:w="5456" w:type="dxa"/>
            <w:tcBorders/>
          </w:tcPr>
          <w:p>
            <w:pPr>
              <w:pStyle w:val="TableContents"/>
              <w:bidi w:val="0"/>
              <w:spacing w:before="0" w:after="0"/>
              <w:jc w:val="left"/>
              <w:rPr>
                <w:rFonts w:ascii="Times New Roman" w:hAnsi="Times New Roman"/>
                <w:sz w:val="20"/>
              </w:rPr>
            </w:pPr>
            <w:r>
              <w:rPr>
                <w:rFonts w:ascii="Times New Roman" w:hAnsi="Times New Roman"/>
                <w:sz w:val="20"/>
              </w:rPr>
              <w:t>Accrued research and development expenses</w:t>
            </w:r>
          </w:p>
        </w:tc>
        <w:tc>
          <w:tcPr>
            <w:tcW w:w="37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1,008</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1,069</w:t>
            </w:r>
          </w:p>
        </w:tc>
        <w:tc>
          <w:tcPr>
            <w:tcW w:w="63" w:type="dxa"/>
            <w:tcBorders/>
            <w:vAlign w:val="bottom"/>
          </w:tcPr>
          <w:p>
            <w:pPr>
              <w:pStyle w:val="TableContents"/>
              <w:bidi w:val="0"/>
              <w:spacing w:before="0" w:after="283"/>
              <w:jc w:val="left"/>
              <w:rPr/>
            </w:pPr>
            <w:r>
              <w:rPr/>
              <w:t> </w:t>
            </w:r>
          </w:p>
        </w:tc>
      </w:tr>
      <w:tr>
        <w:trPr/>
        <w:tc>
          <w:tcPr>
            <w:tcW w:w="54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professional fees</w:t>
            </w:r>
          </w:p>
        </w:tc>
        <w:tc>
          <w:tcPr>
            <w:tcW w:w="37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476</w:t>
            </w:r>
          </w:p>
        </w:tc>
        <w:tc>
          <w:tcPr>
            <w:tcW w:w="6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556</w:t>
            </w:r>
          </w:p>
        </w:tc>
        <w:tc>
          <w:tcPr>
            <w:tcW w:w="63" w:type="dxa"/>
            <w:tcBorders/>
            <w:shd w:fill="CCEEFF" w:val="clear"/>
            <w:vAlign w:val="bottom"/>
          </w:tcPr>
          <w:p>
            <w:pPr>
              <w:pStyle w:val="TableContents"/>
              <w:bidi w:val="0"/>
              <w:spacing w:before="0" w:after="283"/>
              <w:jc w:val="left"/>
              <w:rPr/>
            </w:pPr>
            <w:r>
              <w:rPr/>
              <w:t> </w:t>
            </w:r>
          </w:p>
        </w:tc>
      </w:tr>
      <w:tr>
        <w:trPr/>
        <w:tc>
          <w:tcPr>
            <w:tcW w:w="5456"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liability</w:t>
            </w:r>
          </w:p>
        </w:tc>
        <w:tc>
          <w:tcPr>
            <w:tcW w:w="37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450</w:t>
            </w:r>
          </w:p>
        </w:tc>
        <w:tc>
          <w:tcPr>
            <w:tcW w:w="63" w:type="dxa"/>
            <w:tcBorders/>
            <w:vAlign w:val="bottom"/>
          </w:tcPr>
          <w:p>
            <w:pPr>
              <w:pStyle w:val="TableContents"/>
              <w:bidi w:val="0"/>
              <w:spacing w:before="0" w:after="283"/>
              <w:jc w:val="left"/>
              <w:rPr/>
            </w:pPr>
            <w:r>
              <w:rPr/>
              <w:t> </w:t>
            </w:r>
          </w:p>
        </w:tc>
      </w:tr>
      <w:tr>
        <w:trPr/>
        <w:tc>
          <w:tcPr>
            <w:tcW w:w="54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accrued expenses and current liabilities</w:t>
            </w:r>
          </w:p>
        </w:tc>
        <w:tc>
          <w:tcPr>
            <w:tcW w:w="37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34</w:t>
            </w:r>
          </w:p>
        </w:tc>
        <w:tc>
          <w:tcPr>
            <w:tcW w:w="6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357</w:t>
            </w:r>
          </w:p>
        </w:tc>
        <w:tc>
          <w:tcPr>
            <w:tcW w:w="63" w:type="dxa"/>
            <w:tcBorders/>
            <w:shd w:fill="CCEEFF" w:val="clear"/>
            <w:vAlign w:val="bottom"/>
          </w:tcPr>
          <w:p>
            <w:pPr>
              <w:pStyle w:val="TableContents"/>
              <w:bidi w:val="0"/>
              <w:spacing w:before="0" w:after="283"/>
              <w:jc w:val="left"/>
              <w:rPr/>
            </w:pPr>
            <w:r>
              <w:rPr/>
              <w:t> </w:t>
            </w:r>
          </w:p>
        </w:tc>
      </w:tr>
      <w:tr>
        <w:trPr/>
        <w:tc>
          <w:tcPr>
            <w:tcW w:w="5456"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456" w:type="dxa"/>
            <w:tcBorders/>
          </w:tcPr>
          <w:p>
            <w:pPr>
              <w:pStyle w:val="TableContents"/>
              <w:bidi w:val="0"/>
              <w:spacing w:before="0" w:after="0"/>
              <w:jc w:val="left"/>
              <w:rPr>
                <w:rFonts w:ascii="Times New Roman" w:hAnsi="Times New Roman"/>
                <w:sz w:val="20"/>
              </w:rPr>
            </w:pPr>
            <w:r>
              <w:rPr>
                <w:rFonts w:ascii="Times New Roman" w:hAnsi="Times New Roman"/>
                <w:sz w:val="20"/>
              </w:rPr>
              <w:t>Total accrued expenses and other current liabilities</w:t>
            </w:r>
          </w:p>
        </w:tc>
        <w:tc>
          <w:tcPr>
            <w:tcW w:w="37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0" w:type="dxa"/>
            <w:tcBorders/>
            <w:vAlign w:val="bottom"/>
          </w:tcPr>
          <w:p>
            <w:pPr>
              <w:pStyle w:val="TableContents"/>
              <w:bidi w:val="0"/>
              <w:spacing w:before="0" w:after="283"/>
              <w:jc w:val="right"/>
              <w:rPr/>
            </w:pPr>
            <w:r>
              <w:rPr/>
              <w:t>3,582</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0" w:type="dxa"/>
            <w:tcBorders/>
            <w:vAlign w:val="bottom"/>
          </w:tcPr>
          <w:p>
            <w:pPr>
              <w:pStyle w:val="TableContents"/>
              <w:bidi w:val="0"/>
              <w:spacing w:before="0" w:after="283"/>
              <w:jc w:val="right"/>
              <w:rPr/>
            </w:pPr>
            <w:r>
              <w:rPr/>
              <w:t>5,535</w:t>
            </w:r>
          </w:p>
        </w:tc>
        <w:tc>
          <w:tcPr>
            <w:tcW w:w="63" w:type="dxa"/>
            <w:tcBorders/>
            <w:vAlign w:val="bottom"/>
          </w:tcPr>
          <w:p>
            <w:pPr>
              <w:pStyle w:val="TableContents"/>
              <w:bidi w:val="0"/>
              <w:spacing w:before="0" w:after="283"/>
              <w:jc w:val="left"/>
              <w:rPr/>
            </w:pPr>
            <w:r>
              <w:rPr/>
              <w:t> </w:t>
            </w:r>
          </w:p>
        </w:tc>
      </w:tr>
      <w:tr>
        <w:trPr/>
        <w:tc>
          <w:tcPr>
            <w:tcW w:w="5456"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57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57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License Agreements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Alamar License Agreement </w:t>
      </w:r>
    </w:p>
    <w:p>
      <w:pPr>
        <w:pStyle w:val="TextBody"/>
        <w:bidi w:val="0"/>
        <w:spacing w:before="120" w:after="0"/>
        <w:jc w:val="both"/>
        <w:rPr>
          <w:rFonts w:ascii="Times New Roman" w:hAnsi="Times New Roman"/>
          <w:sz w:val="20"/>
        </w:rPr>
      </w:pPr>
      <w:r>
        <w:rPr>
          <w:rFonts w:ascii="Times New Roman" w:hAnsi="Times New Roman"/>
          <w:sz w:val="20"/>
        </w:rPr>
        <w:t xml:space="preserve">On June 1, 2023, the Company and Alamar Biosciences, Inc. (“Alamar”) entered into a Platform License Development Agreement (the “Alamar Platform License Agreement”). Under the Alamar Platform License Agreement, Alamar granted the Company an exclusive, sublicensable license to use the antibody engineering platform (the “ATTOBODY Platform”) within certain specified therapeutic fields. </w:t>
      </w:r>
    </w:p>
    <w:p>
      <w:pPr>
        <w:pStyle w:val="TextBody"/>
        <w:bidi w:val="0"/>
        <w:spacing w:before="120" w:after="0"/>
        <w:jc w:val="both"/>
        <w:rPr>
          <w:rFonts w:ascii="Times New Roman" w:hAnsi="Times New Roman"/>
          <w:sz w:val="20"/>
        </w:rPr>
      </w:pPr>
      <w:r>
        <w:rPr>
          <w:rFonts w:ascii="Times New Roman" w:hAnsi="Times New Roman"/>
          <w:sz w:val="20"/>
        </w:rPr>
        <w:t xml:space="preserve">In connection with the Alamar Platform License Agreement, the Company issued 2,428,646 shares of its common stock to Alamar as consideration for the license. Alamar is further entitled to certain development and regulatory milestone payments for an aggregate of up to $0.8 million and $3.5 million respectively, on a product-by-product basis as well as royalties on net sales of the covered products ranging in the low-single digit percentage rates. Milestone payments are contingent consideration and are accrued when it becomes probable that the underlying milestone will be achieved. The Company recorded $0.3 million as research and development expenses on the consolidated statements of operations and comprehensive loss during the year ended December 31, 2024, related to achievement of development milestone for ATTO-1310. The Company recorded $0.3 million as research and development expenses on the consolidated statements of operations and comprehensive loss during the year ended December 31, 2025, related to achievement of a development milestone for ATTO-3712. As of December 31, 2024, $0.3 million was included in accounts payable on the consolidated balance sheets in connection with these milestone payments. There were no accounts payable related to the milestone payments as of December 31, 2025. The remaining milestones were not probable to be achieved as of December 31, 2025. Royalties will be recognized as cost of sales when the covered products are sold and royalties are payable.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EndPath License Agreement and Equity Distribution </w:t>
      </w:r>
    </w:p>
    <w:p>
      <w:pPr>
        <w:pStyle w:val="TextBody"/>
        <w:bidi w:val="0"/>
        <w:spacing w:before="120" w:after="0"/>
        <w:jc w:val="both"/>
        <w:rPr>
          <w:rFonts w:ascii="Times New Roman" w:hAnsi="Times New Roman"/>
          <w:sz w:val="20"/>
        </w:rPr>
      </w:pPr>
      <w:r>
        <w:rPr>
          <w:rFonts w:ascii="Times New Roman" w:hAnsi="Times New Roman"/>
          <w:sz w:val="20"/>
        </w:rPr>
        <w:t xml:space="preserve">In July 2025, the Company entered into a license agreement with EndPath RadioTherapeutics, Inc. (formerly Isotovia Biosciences, Inc.) (“EndPath”) pursuant to which the Company granted EndPath an exclusive, worldwide license to certain of the Company’s ATTOBODY platform technology for use in the development and commercialization of radioligand products (the “EndPath Agreement”). Under the EndPath Agreement, the Company is responsible for using its ATTOBODY platform technology to generate and develop initial Attobodies directed to two initial targets. EndPath is responsible for subsequent development, regulatory, manufacturing and commercialization activities. The EndPath Agreement also provides EndPath with rights to request additional research services for up to two additional targets after the first anniversary of the agreement, subject to separate reimbursement. </w:t>
      </w:r>
    </w:p>
    <w:p>
      <w:pPr>
        <w:pStyle w:val="TextBody"/>
        <w:bidi w:val="0"/>
        <w:spacing w:before="120" w:after="0"/>
        <w:jc w:val="both"/>
        <w:rPr>
          <w:rFonts w:ascii="Times New Roman" w:hAnsi="Times New Roman"/>
          <w:sz w:val="20"/>
        </w:rPr>
      </w:pPr>
      <w:r>
        <w:rPr>
          <w:rFonts w:ascii="Times New Roman" w:hAnsi="Times New Roman"/>
          <w:sz w:val="20"/>
        </w:rPr>
        <w:t xml:space="preserve">As consideration for the license and related research and development obligations, the Company received 24,000,000 shares of EndPath common stock, of which 6,000,000 shares are subject to repurchase if specified conditions are not met, including the first accepted investigational new drug filing for a lead product, or certain termination events. The Company is also eligible to receive additional consideration under the EndPath Agreement of up to $14.5 million in development and regulatory milestone payments, up to $170.0 million in sales milestone payments, and low single-digit royalties on worldwide annual net sales of licensed products. </w:t>
      </w:r>
    </w:p>
    <w:p>
      <w:pPr>
        <w:pStyle w:val="TextBody"/>
        <w:bidi w:val="0"/>
        <w:spacing w:before="120" w:after="0"/>
        <w:jc w:val="both"/>
        <w:rPr>
          <w:rFonts w:ascii="Times New Roman" w:hAnsi="Times New Roman"/>
          <w:sz w:val="20"/>
        </w:rPr>
      </w:pPr>
      <w:r>
        <w:rPr>
          <w:rFonts w:ascii="Times New Roman" w:hAnsi="Times New Roman"/>
          <w:sz w:val="20"/>
        </w:rPr>
        <w:t xml:space="preserve">Upon receipt of the EndPath common stock, the Company concluded that its ownership interest met the criteria for equity method accounting. The Company elected the fair value option under ASC 825, </w:t>
      </w:r>
      <w:r>
        <w:rPr>
          <w:rFonts w:ascii="Times New Roman" w:hAnsi="Times New Roman"/>
          <w:i/>
          <w:sz w:val="20"/>
        </w:rPr>
        <w:t>Financial Instruments,</w:t>
      </w:r>
      <w:r>
        <w:rPr>
          <w:rFonts w:ascii="Times New Roman" w:hAnsi="Times New Roman"/>
          <w:sz w:val="20"/>
        </w:rPr>
        <w:t xml:space="preserve"> and measured the EndPath common stock at fair value using an option pricing model based on EndPath’s Series A preferred stock. </w:t>
      </w:r>
    </w:p>
    <w:p>
      <w:pPr>
        <w:pStyle w:val="TextBody"/>
        <w:bidi w:val="0"/>
        <w:spacing w:before="120" w:after="0"/>
        <w:jc w:val="both"/>
        <w:rPr>
          <w:rFonts w:ascii="Times New Roman" w:hAnsi="Times New Roman"/>
          <w:sz w:val="20"/>
        </w:rPr>
      </w:pPr>
      <w:r>
        <w:rPr>
          <w:rFonts w:ascii="Times New Roman" w:hAnsi="Times New Roman"/>
          <w:sz w:val="20"/>
        </w:rPr>
        <w:t xml:space="preserve">The Company also concluded that the EndPath arrangement represents a contract with a customer within the scope of ASC 606. The Company identified separate performance obligations for each of the two initial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target programs, each consisting of the applicable license rights and related research and development services, together with related supporting activities. For purposes of determining revenue under the EndPath Agreement, the Company evaluated the EndPath common stock as noncash consideration received from a customer. The Company determined that the transaction price at inception was $1.8 million, representing the fair value of the 18,000,000 shares of EndPath common stock that were not subject to repurchase. The fair value of the 6,000,000 shares subject to repurchase was excluded from the transaction price at inception and as of December 31, 2025 because the underlying contingency had not been resolved and the Company determined that the amount was constrained. The Company recorded the fair value of 6,000,000 shares subject to repurchase as an asset with a corresponding customer deposit liability of $0.6 million, which was included in other non-current liabilities on the Company’s consolidated balance sheets. The customer deposit liability remains outstanding until the repurchase option lapses, is exercised or is otherwise resolved. </w:t>
      </w:r>
    </w:p>
    <w:p>
      <w:pPr>
        <w:pStyle w:val="TextBody"/>
        <w:bidi w:val="0"/>
        <w:spacing w:before="120" w:after="0"/>
        <w:jc w:val="both"/>
        <w:rPr>
          <w:rFonts w:ascii="Times New Roman" w:hAnsi="Times New Roman"/>
          <w:sz w:val="20"/>
        </w:rPr>
      </w:pPr>
      <w:r>
        <w:rPr>
          <w:rFonts w:ascii="Times New Roman" w:hAnsi="Times New Roman"/>
          <w:sz w:val="20"/>
        </w:rPr>
        <w:t xml:space="preserve">The Company recognizes revenue using a cost-based input method over the estimated research term. The Company recognized $1.4 million of collaboration revenue under the EndPath Agreement during the year ended December 31, 2025. As of December 31, 2025, the contract liability related to the EndPath Agreement was $0.4 million, which was included in accrued expenses and other current liabilities on the Company’s consolidated balance sheets. </w:t>
      </w:r>
    </w:p>
    <w:p>
      <w:pPr>
        <w:pStyle w:val="TextBody"/>
        <w:bidi w:val="0"/>
        <w:spacing w:before="120" w:after="0"/>
        <w:jc w:val="both"/>
        <w:rPr>
          <w:rFonts w:ascii="Times New Roman" w:hAnsi="Times New Roman"/>
          <w:sz w:val="20"/>
        </w:rPr>
      </w:pPr>
      <w:r>
        <w:rPr>
          <w:rFonts w:ascii="Times New Roman" w:hAnsi="Times New Roman"/>
          <w:sz w:val="20"/>
        </w:rPr>
        <w:t xml:space="preserve">In September 2025, the Company distributed the EndPath common stock received as noncash consideration under the EndPath Agreement, with an aggregate carrying value of $2.4 million, to holders of the Company’s outstanding capital stock. Following the distribution, the Company no longer held any EndPath common stock. The distribution was accounted for as an in-kind dividend and reduced the Company’s equity investment in EndPath to zero. There was no gain or loss recognized as a result of the distribution since there was no change in fair value of the investment in EndPath during the short holding period between the initial valuation date and the distribution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6.</w:t>
            </w:r>
          </w:p>
        </w:tc>
        <w:tc>
          <w:tcPr>
            <w:tcW w:w="9799"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both"/>
        <w:rPr>
          <w:rFonts w:ascii="Times New Roman" w:hAnsi="Times New Roman"/>
          <w:sz w:val="20"/>
        </w:rPr>
      </w:pPr>
      <w:r>
        <w:rPr>
          <w:rFonts w:ascii="Times New Roman" w:hAnsi="Times New Roman"/>
          <w:sz w:val="20"/>
        </w:rPr>
        <w:t xml:space="preserve">In June 2023, the Company entered into a lease agreement with Alamar to lease approximately 8,287 square feet of office and laboratory spaces in Fremont, California, which is classified as an operating lease. The lease commenced on June 1, 2023, with an initial term of 18 months. After expiration of the initial term, the lease would continue on a month-to-month basis unless terminated by either party upon 30 days prior written notice. At the inception of the lease, the Company concluded that it was not reasonably likely to exercise such extension option. Monthly base rent payments were $49,044, subject to an annual 12% increase starting from February 1, 2024. The discount rate used to measure the lease liability for such operating lease upon recognition was 13.8%. </w:t>
      </w:r>
    </w:p>
    <w:p>
      <w:pPr>
        <w:pStyle w:val="TextBody"/>
        <w:bidi w:val="0"/>
        <w:spacing w:before="120" w:after="0"/>
        <w:jc w:val="both"/>
        <w:rPr>
          <w:rFonts w:ascii="Times New Roman" w:hAnsi="Times New Roman"/>
          <w:sz w:val="20"/>
        </w:rPr>
      </w:pPr>
      <w:r>
        <w:rPr>
          <w:rFonts w:ascii="Times New Roman" w:hAnsi="Times New Roman"/>
          <w:sz w:val="20"/>
        </w:rPr>
        <w:t xml:space="preserve">Between October 2023 and October 2024, the Company entered into four amendments to the lease agreement to increase the area of leased space, extend the lease term, adjust the monthly base rent for the remaining lease term, and make certain other changes to the lease terms. The first three amendments were accounted for as separate short-term lease contracts. The final amendment to the lease agreement, entered in October 2024, increased the leased area, extended the lease term until March 31, 2025, and adjusted the base rent for the remaining lease term to $63,261 per month. This final amendment was accounted for as a lease modification, but was determined to be immaterial to the Company’s consolidated financial statements. </w:t>
      </w:r>
    </w:p>
    <w:p>
      <w:pPr>
        <w:pStyle w:val="TextBody"/>
        <w:bidi w:val="0"/>
        <w:spacing w:before="120" w:after="0"/>
        <w:jc w:val="both"/>
        <w:rPr>
          <w:rFonts w:ascii="Times New Roman" w:hAnsi="Times New Roman"/>
          <w:sz w:val="20"/>
        </w:rPr>
      </w:pPr>
      <w:r>
        <w:rPr>
          <w:rFonts w:ascii="Times New Roman" w:hAnsi="Times New Roman"/>
          <w:sz w:val="20"/>
        </w:rPr>
        <w:t xml:space="preserve">In July 2024, the Company entered into a lease agreement to lease approximately 26,062 square feet of office, laboratory and storage spaces in San Carlos, California, which was classified as an operating lease. The lease commencement date was January 31, 2025, with an initial term of 40 months. After the expiration of the initial term, the Company has the option to extend the lease for an additional 60 months. 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inception, the Company concluded that it was not reasonably likely to exercise such extension option. As of the commencement date, future lease payments totaled $6.7 million and the lease liability was calculated to be $5.8 million, which is equal to the present value of the future lease payments, discounted at an incremental borrowing rate of 8.2%. In conjunction with the agreement, the Company secured a letter of credit in the amount of $0.6 million and $0.4 million as of December 31, 2024 and 2025, respectively. The funds related to this letter of credit are presented as restricted cash on the Company’s consolidated balance sheets. </w:t>
      </w:r>
    </w:p>
    <w:p>
      <w:pPr>
        <w:pStyle w:val="TextBody"/>
        <w:bidi w:val="0"/>
        <w:spacing w:before="120" w:after="0"/>
        <w:jc w:val="both"/>
        <w:rPr>
          <w:rFonts w:ascii="Times New Roman" w:hAnsi="Times New Roman"/>
          <w:sz w:val="20"/>
        </w:rPr>
      </w:pPr>
      <w:r>
        <w:rPr>
          <w:rFonts w:ascii="Times New Roman" w:hAnsi="Times New Roman"/>
          <w:sz w:val="20"/>
        </w:rPr>
        <w:t xml:space="preserve">In September 2023, the Company entered into a lease agreement for certain laboratory equipment, which was classified as a finance lease. The lease expired in 2024, and the related expense for the year ended December 31, 2024 was immaterial. </w:t>
      </w:r>
    </w:p>
    <w:p>
      <w:pPr>
        <w:pStyle w:val="TextBody"/>
        <w:bidi w:val="0"/>
        <w:spacing w:before="120" w:after="0"/>
        <w:jc w:val="both"/>
        <w:rPr>
          <w:rFonts w:ascii="Times New Roman" w:hAnsi="Times New Roman"/>
          <w:sz w:val="20"/>
        </w:rPr>
      </w:pPr>
      <w:r>
        <w:rPr>
          <w:rFonts w:ascii="Times New Roman" w:hAnsi="Times New Roman"/>
          <w:sz w:val="20"/>
        </w:rPr>
        <w:t xml:space="preserve">The components of total lease cost related to leases for the years ended December 31, 2024 and 2025 were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98"/>
        <w:gridCol w:w="657"/>
        <w:gridCol w:w="258"/>
        <w:gridCol w:w="669"/>
        <w:gridCol w:w="105"/>
        <w:gridCol w:w="814"/>
        <w:gridCol w:w="258"/>
        <w:gridCol w:w="1033"/>
        <w:gridCol w:w="63"/>
      </w:tblGrid>
      <w:tr>
        <w:trPr/>
        <w:tc>
          <w:tcPr>
            <w:tcW w:w="3898" w:type="dxa"/>
            <w:tcBorders/>
            <w:vAlign w:val="center"/>
          </w:tcPr>
          <w:p>
            <w:pPr>
              <w:pStyle w:val="TableContents"/>
              <w:bidi w:val="0"/>
              <w:spacing w:before="0" w:after="283"/>
              <w:jc w:val="left"/>
              <w:rPr>
                <w:sz w:val="4"/>
                <w:szCs w:val="4"/>
              </w:rPr>
            </w:pPr>
            <w:r>
              <w:rPr>
                <w:sz w:val="4"/>
                <w:szCs w:val="4"/>
              </w:rPr>
            </w:r>
          </w:p>
        </w:tc>
        <w:tc>
          <w:tcPr>
            <w:tcW w:w="657" w:type="dxa"/>
            <w:tcBorders/>
            <w:vAlign w:val="bottom"/>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898"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left"/>
              <w:rPr/>
            </w:pPr>
            <w:r>
              <w:rPr/>
              <w:t>    </w:t>
            </w:r>
          </w:p>
        </w:tc>
        <w:tc>
          <w:tcPr>
            <w:tcW w:w="313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3" w:type="dxa"/>
            <w:tcBorders/>
            <w:vAlign w:val="bottom"/>
          </w:tcPr>
          <w:p>
            <w:pPr>
              <w:pStyle w:val="TableContents"/>
              <w:bidi w:val="0"/>
              <w:spacing w:before="0" w:after="283"/>
              <w:jc w:val="left"/>
              <w:rPr/>
            </w:pPr>
            <w:r>
              <w:rPr/>
              <w:t> </w:t>
            </w:r>
          </w:p>
        </w:tc>
      </w:tr>
      <w:tr>
        <w:trPr/>
        <w:tc>
          <w:tcPr>
            <w:tcW w:w="3898"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left"/>
              <w:rPr/>
            </w:pPr>
            <w:r>
              <w:rPr/>
              <w:t>    </w:t>
            </w:r>
          </w:p>
        </w:tc>
        <w:tc>
          <w:tcPr>
            <w:tcW w:w="9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05"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left"/>
              <w:rPr/>
            </w:pPr>
            <w:r>
              <w:rPr/>
              <w:t>    </w:t>
            </w:r>
          </w:p>
        </w:tc>
        <w:tc>
          <w:tcPr>
            <w:tcW w:w="12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3" w:type="dxa"/>
            <w:tcBorders/>
            <w:vAlign w:val="bottom"/>
          </w:tcPr>
          <w:p>
            <w:pPr>
              <w:pStyle w:val="TableContents"/>
              <w:bidi w:val="0"/>
              <w:spacing w:before="0" w:after="283"/>
              <w:jc w:val="left"/>
              <w:rPr/>
            </w:pPr>
            <w:r>
              <w:rPr/>
              <w:t> </w:t>
            </w:r>
          </w:p>
        </w:tc>
      </w:tr>
      <w:tr>
        <w:trPr/>
        <w:tc>
          <w:tcPr>
            <w:tcW w:w="38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cost</w:t>
            </w:r>
          </w:p>
        </w:tc>
        <w:tc>
          <w:tcPr>
            <w:tcW w:w="657"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669" w:type="dxa"/>
            <w:tcBorders/>
            <w:shd w:fill="CCEEFF" w:val="clear"/>
            <w:vAlign w:val="bottom"/>
          </w:tcPr>
          <w:p>
            <w:pPr>
              <w:pStyle w:val="TableContents"/>
              <w:bidi w:val="0"/>
              <w:spacing w:before="0" w:after="283"/>
              <w:jc w:val="right"/>
              <w:rPr/>
            </w:pPr>
            <w:r>
              <w:rPr/>
              <w:t>680</w:t>
            </w:r>
          </w:p>
        </w:tc>
        <w:tc>
          <w:tcPr>
            <w:tcW w:w="105"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1033" w:type="dxa"/>
            <w:tcBorders/>
            <w:shd w:fill="CCEEFF" w:val="clear"/>
            <w:vAlign w:val="bottom"/>
          </w:tcPr>
          <w:p>
            <w:pPr>
              <w:pStyle w:val="TableContents"/>
              <w:bidi w:val="0"/>
              <w:spacing w:before="0" w:after="283"/>
              <w:jc w:val="right"/>
              <w:rPr/>
            </w:pPr>
            <w:r>
              <w:rPr/>
              <w:t>1,814</w:t>
            </w:r>
          </w:p>
        </w:tc>
        <w:tc>
          <w:tcPr>
            <w:tcW w:w="63" w:type="dxa"/>
            <w:tcBorders/>
            <w:shd w:fill="CCEEFF" w:val="clear"/>
            <w:vAlign w:val="bottom"/>
          </w:tcPr>
          <w:p>
            <w:pPr>
              <w:pStyle w:val="TableContents"/>
              <w:bidi w:val="0"/>
              <w:spacing w:before="0" w:after="283"/>
              <w:jc w:val="left"/>
              <w:rPr/>
            </w:pPr>
            <w:r>
              <w:rPr/>
              <w:t> </w:t>
            </w:r>
          </w:p>
        </w:tc>
      </w:tr>
      <w:tr>
        <w:trPr/>
        <w:tc>
          <w:tcPr>
            <w:tcW w:w="3898" w:type="dxa"/>
            <w:tcBorders/>
          </w:tcPr>
          <w:p>
            <w:pPr>
              <w:pStyle w:val="TableContents"/>
              <w:bidi w:val="0"/>
              <w:spacing w:before="0" w:after="0"/>
              <w:jc w:val="left"/>
              <w:rPr>
                <w:rFonts w:ascii="Times New Roman" w:hAnsi="Times New Roman"/>
                <w:sz w:val="20"/>
              </w:rPr>
            </w:pPr>
            <w:r>
              <w:rPr>
                <w:rFonts w:ascii="Times New Roman" w:hAnsi="Times New Roman"/>
                <w:sz w:val="20"/>
              </w:rPr>
              <w:t>Variable lease cost</w:t>
            </w:r>
          </w:p>
        </w:tc>
        <w:tc>
          <w:tcPr>
            <w:tcW w:w="657"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283"/>
              <w:jc w:val="right"/>
              <w:rPr/>
            </w:pPr>
            <w:r>
              <w:rPr/>
              <w:t>199</w:t>
            </w:r>
          </w:p>
        </w:tc>
        <w:tc>
          <w:tcPr>
            <w:tcW w:w="105"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704</w:t>
            </w:r>
          </w:p>
        </w:tc>
        <w:tc>
          <w:tcPr>
            <w:tcW w:w="63" w:type="dxa"/>
            <w:tcBorders/>
            <w:vAlign w:val="bottom"/>
          </w:tcPr>
          <w:p>
            <w:pPr>
              <w:pStyle w:val="TableContents"/>
              <w:bidi w:val="0"/>
              <w:spacing w:before="0" w:after="283"/>
              <w:jc w:val="left"/>
              <w:rPr/>
            </w:pPr>
            <w:r>
              <w:rPr/>
              <w:t> </w:t>
            </w:r>
          </w:p>
        </w:tc>
      </w:tr>
      <w:tr>
        <w:trPr/>
        <w:tc>
          <w:tcPr>
            <w:tcW w:w="38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lease cost</w:t>
            </w:r>
          </w:p>
        </w:tc>
        <w:tc>
          <w:tcPr>
            <w:tcW w:w="657"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283"/>
              <w:jc w:val="right"/>
              <w:rPr/>
            </w:pPr>
            <w:r>
              <w:rPr/>
              <w:t>95</w:t>
            </w:r>
          </w:p>
        </w:tc>
        <w:tc>
          <w:tcPr>
            <w:tcW w:w="105"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184</w:t>
            </w:r>
          </w:p>
        </w:tc>
        <w:tc>
          <w:tcPr>
            <w:tcW w:w="63" w:type="dxa"/>
            <w:tcBorders/>
            <w:shd w:fill="CCEEFF" w:val="clear"/>
            <w:vAlign w:val="bottom"/>
          </w:tcPr>
          <w:p>
            <w:pPr>
              <w:pStyle w:val="TableContents"/>
              <w:bidi w:val="0"/>
              <w:spacing w:before="0" w:after="283"/>
              <w:jc w:val="left"/>
              <w:rPr/>
            </w:pPr>
            <w:r>
              <w:rPr/>
              <w:t> </w:t>
            </w:r>
          </w:p>
        </w:tc>
      </w:tr>
      <w:tr>
        <w:trPr/>
        <w:tc>
          <w:tcPr>
            <w:tcW w:w="3898" w:type="dxa"/>
            <w:tcBorders/>
            <w:vAlign w:val="bottom"/>
          </w:tcPr>
          <w:p>
            <w:pPr>
              <w:pStyle w:val="TableContents"/>
              <w:bidi w:val="0"/>
              <w:spacing w:before="0" w:after="283"/>
              <w:jc w:val="left"/>
              <w:rPr>
                <w:sz w:val="4"/>
                <w:szCs w:val="4"/>
              </w:rPr>
            </w:pPr>
            <w:r>
              <w:rPr>
                <w:sz w:val="4"/>
                <w:szCs w:val="4"/>
              </w:rPr>
            </w:r>
          </w:p>
        </w:tc>
        <w:tc>
          <w:tcPr>
            <w:tcW w:w="657"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single" w:sz="2" w:space="1" w:color="000000"/>
              </w:pBdr>
              <w:bidi w:val="0"/>
              <w:spacing w:before="0" w:after="0"/>
              <w:jc w:val="left"/>
              <w:rPr/>
            </w:pPr>
            <w:r>
              <w:rPr/>
              <w:t> </w:t>
            </w:r>
          </w:p>
        </w:tc>
        <w:tc>
          <w:tcPr>
            <w:tcW w:w="669" w:type="dxa"/>
            <w:tcBorders/>
            <w:vAlign w:val="bottom"/>
          </w:tcPr>
          <w:p>
            <w:pPr>
              <w:pStyle w:val="TableContents"/>
              <w:pBdr>
                <w:top w:val="single" w:sz="2" w:space="1" w:color="000000"/>
              </w:pBdr>
              <w:bidi w:val="0"/>
              <w:spacing w:before="0" w:after="0"/>
              <w:jc w:val="left"/>
              <w:rPr/>
            </w:pPr>
            <w:r>
              <w:rPr/>
              <w:t> </w:t>
            </w:r>
          </w:p>
        </w:tc>
        <w:tc>
          <w:tcPr>
            <w:tcW w:w="105" w:type="dxa"/>
            <w:tcBorders/>
            <w:vAlign w:val="center"/>
          </w:tcPr>
          <w:p>
            <w:pPr>
              <w:pStyle w:val="TableContents"/>
              <w:bidi w:val="0"/>
              <w:spacing w:before="0" w:after="283"/>
              <w:jc w:val="left"/>
              <w:rPr/>
            </w:pPr>
            <w:r>
              <w:rPr/>
              <w:t> </w:t>
            </w:r>
          </w:p>
        </w:tc>
        <w:tc>
          <w:tcPr>
            <w:tcW w:w="814"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898" w:type="dxa"/>
            <w:tcBorders/>
          </w:tcPr>
          <w:p>
            <w:pPr>
              <w:pStyle w:val="TableContents"/>
              <w:bidi w:val="0"/>
              <w:spacing w:before="0" w:after="0"/>
              <w:jc w:val="left"/>
              <w:rPr>
                <w:rFonts w:ascii="Times New Roman" w:hAnsi="Times New Roman"/>
                <w:sz w:val="20"/>
              </w:rPr>
            </w:pPr>
            <w:r>
              <w:rPr>
                <w:rFonts w:ascii="Times New Roman" w:hAnsi="Times New Roman"/>
                <w:sz w:val="20"/>
              </w:rPr>
              <w:t>Total lease cost</w:t>
            </w:r>
          </w:p>
        </w:tc>
        <w:tc>
          <w:tcPr>
            <w:tcW w:w="657"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w:t>
            </w:r>
          </w:p>
        </w:tc>
        <w:tc>
          <w:tcPr>
            <w:tcW w:w="669" w:type="dxa"/>
            <w:tcBorders/>
            <w:vAlign w:val="bottom"/>
          </w:tcPr>
          <w:p>
            <w:pPr>
              <w:pStyle w:val="TableContents"/>
              <w:bidi w:val="0"/>
              <w:spacing w:before="0" w:after="283"/>
              <w:jc w:val="right"/>
              <w:rPr/>
            </w:pPr>
            <w:r>
              <w:rPr/>
              <w:t>974</w:t>
            </w:r>
          </w:p>
        </w:tc>
        <w:tc>
          <w:tcPr>
            <w:tcW w:w="105"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w:t>
            </w:r>
          </w:p>
        </w:tc>
        <w:tc>
          <w:tcPr>
            <w:tcW w:w="1033" w:type="dxa"/>
            <w:tcBorders/>
            <w:vAlign w:val="bottom"/>
          </w:tcPr>
          <w:p>
            <w:pPr>
              <w:pStyle w:val="TableContents"/>
              <w:bidi w:val="0"/>
              <w:spacing w:before="0" w:after="283"/>
              <w:jc w:val="right"/>
              <w:rPr/>
            </w:pPr>
            <w:r>
              <w:rPr/>
              <w:t>2,702</w:t>
            </w:r>
          </w:p>
        </w:tc>
        <w:tc>
          <w:tcPr>
            <w:tcW w:w="63" w:type="dxa"/>
            <w:tcBorders/>
            <w:vAlign w:val="bottom"/>
          </w:tcPr>
          <w:p>
            <w:pPr>
              <w:pStyle w:val="TableContents"/>
              <w:bidi w:val="0"/>
              <w:spacing w:before="0" w:after="283"/>
              <w:jc w:val="left"/>
              <w:rPr/>
            </w:pPr>
            <w:r>
              <w:rPr/>
              <w:t> </w:t>
            </w:r>
          </w:p>
        </w:tc>
      </w:tr>
      <w:tr>
        <w:trPr/>
        <w:tc>
          <w:tcPr>
            <w:tcW w:w="3898" w:type="dxa"/>
            <w:tcBorders/>
            <w:vAlign w:val="bottom"/>
          </w:tcPr>
          <w:p>
            <w:pPr>
              <w:pStyle w:val="TableContents"/>
              <w:bidi w:val="0"/>
              <w:spacing w:before="0" w:after="283"/>
              <w:jc w:val="left"/>
              <w:rPr>
                <w:sz w:val="4"/>
                <w:szCs w:val="4"/>
              </w:rPr>
            </w:pPr>
            <w:r>
              <w:rPr>
                <w:sz w:val="4"/>
                <w:szCs w:val="4"/>
              </w:rPr>
            </w:r>
          </w:p>
        </w:tc>
        <w:tc>
          <w:tcPr>
            <w:tcW w:w="657"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double" w:sz="6" w:space="1" w:color="000000"/>
              </w:pBdr>
              <w:bidi w:val="0"/>
              <w:spacing w:before="0" w:after="0"/>
              <w:jc w:val="left"/>
              <w:rPr/>
            </w:pPr>
            <w:r>
              <w:rPr/>
              <w:t> </w:t>
            </w:r>
          </w:p>
        </w:tc>
        <w:tc>
          <w:tcPr>
            <w:tcW w:w="669" w:type="dxa"/>
            <w:tcBorders/>
            <w:vAlign w:val="bottom"/>
          </w:tcPr>
          <w:p>
            <w:pPr>
              <w:pStyle w:val="TableContents"/>
              <w:pBdr>
                <w:top w:val="double" w:sz="6" w:space="1" w:color="000000"/>
              </w:pBdr>
              <w:bidi w:val="0"/>
              <w:spacing w:before="0" w:after="0"/>
              <w:jc w:val="left"/>
              <w:rPr/>
            </w:pPr>
            <w:r>
              <w:rPr/>
              <w:t> </w:t>
            </w:r>
          </w:p>
        </w:tc>
        <w:tc>
          <w:tcPr>
            <w:tcW w:w="105" w:type="dxa"/>
            <w:tcBorders/>
            <w:vAlign w:val="center"/>
          </w:tcPr>
          <w:p>
            <w:pPr>
              <w:pStyle w:val="TableContents"/>
              <w:bidi w:val="0"/>
              <w:spacing w:before="0" w:after="283"/>
              <w:jc w:val="left"/>
              <w:rPr/>
            </w:pPr>
            <w:r>
              <w:rPr/>
              <w:t> </w:t>
            </w:r>
          </w:p>
        </w:tc>
        <w:tc>
          <w:tcPr>
            <w:tcW w:w="814"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double" w:sz="6" w:space="1" w:color="000000"/>
              </w:pBdr>
              <w:bidi w:val="0"/>
              <w:spacing w:before="0" w:after="0"/>
              <w:jc w:val="left"/>
              <w:rPr/>
            </w:pPr>
            <w:r>
              <w:rPr/>
              <w:t> </w:t>
            </w:r>
          </w:p>
        </w:tc>
        <w:tc>
          <w:tcPr>
            <w:tcW w:w="103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120" w:after="0"/>
        <w:jc w:val="both"/>
        <w:rPr>
          <w:rFonts w:ascii="Times New Roman" w:hAnsi="Times New Roman"/>
          <w:sz w:val="20"/>
        </w:rPr>
      </w:pPr>
      <w:r>
        <w:rPr>
          <w:rFonts w:ascii="Times New Roman" w:hAnsi="Times New Roman"/>
          <w:sz w:val="20"/>
        </w:rPr>
        <w:t xml:space="preserve">During the years ended December 31, 2024 and 2025, cash paid for amounts included in operating lease liability of $0.6 million and $0.9 million, respectively, were included in cash flows from operating activities on the consolidated statements of cash flows. </w:t>
      </w:r>
    </w:p>
    <w:p>
      <w:pPr>
        <w:pStyle w:val="TextBody"/>
        <w:bidi w:val="0"/>
        <w:spacing w:before="120" w:after="0"/>
        <w:jc w:val="both"/>
        <w:rPr>
          <w:rFonts w:ascii="Times New Roman" w:hAnsi="Times New Roman"/>
          <w:sz w:val="20"/>
        </w:rPr>
      </w:pPr>
      <w:r>
        <w:rPr>
          <w:rFonts w:ascii="Times New Roman" w:hAnsi="Times New Roman"/>
          <w:sz w:val="20"/>
        </w:rPr>
        <w:t xml:space="preserve">The Company had no operating leases as of December 31, 2024. As of December 31, 2025, the weighted-average remaining lease term was 2.5 years, and the weighted average discount rate used to measure the lease liabilities for such operating leases upon recognition was 8.2%. </w:t>
      </w:r>
    </w:p>
    <w:p>
      <w:pPr>
        <w:pStyle w:val="TextBody"/>
        <w:bidi w:val="0"/>
        <w:spacing w:before="120" w:after="0"/>
        <w:jc w:val="both"/>
        <w:rPr>
          <w:rFonts w:ascii="Times New Roman" w:hAnsi="Times New Roman"/>
          <w:sz w:val="20"/>
        </w:rPr>
      </w:pPr>
      <w:r>
        <w:rPr>
          <w:rFonts w:ascii="Times New Roman" w:hAnsi="Times New Roman"/>
          <w:sz w:val="20"/>
        </w:rPr>
        <w:t xml:space="preserve">As of December 31, 2025, the future minimum lease commitments under the operating lease were as follows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67"/>
        <w:gridCol w:w="382"/>
        <w:gridCol w:w="146"/>
        <w:gridCol w:w="585"/>
        <w:gridCol w:w="159"/>
      </w:tblGrid>
      <w:tr>
        <w:trPr/>
        <w:tc>
          <w:tcPr>
            <w:tcW w:w="5667"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6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Year Ended December 31,</w:t>
            </w:r>
          </w:p>
        </w:tc>
        <w:tc>
          <w:tcPr>
            <w:tcW w:w="382" w:type="dxa"/>
            <w:tcBorders/>
            <w:vAlign w:val="bottom"/>
          </w:tcPr>
          <w:p>
            <w:pPr>
              <w:pStyle w:val="TableContents"/>
              <w:bidi w:val="0"/>
              <w:spacing w:before="0" w:after="283"/>
              <w:jc w:val="left"/>
              <w:rPr/>
            </w:pPr>
            <w:r>
              <w:rPr/>
              <w:t>  </w:t>
            </w:r>
          </w:p>
        </w:tc>
        <w:tc>
          <w:tcPr>
            <w:tcW w:w="731"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56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585" w:type="dxa"/>
            <w:tcBorders/>
            <w:shd w:fill="CCEEFF" w:val="clear"/>
            <w:vAlign w:val="bottom"/>
          </w:tcPr>
          <w:p>
            <w:pPr>
              <w:pStyle w:val="TableContents"/>
              <w:bidi w:val="0"/>
              <w:spacing w:before="0" w:after="283"/>
              <w:jc w:val="right"/>
              <w:rPr/>
            </w:pPr>
            <w:r>
              <w:rPr/>
              <w:t>2,254</w:t>
            </w:r>
          </w:p>
        </w:tc>
        <w:tc>
          <w:tcPr>
            <w:tcW w:w="159" w:type="dxa"/>
            <w:tcBorders/>
            <w:shd w:fill="CCEEFF" w:val="clear"/>
            <w:vAlign w:val="bottom"/>
          </w:tcPr>
          <w:p>
            <w:pPr>
              <w:pStyle w:val="TableContents"/>
              <w:bidi w:val="0"/>
              <w:spacing w:before="0" w:after="283"/>
              <w:jc w:val="left"/>
              <w:rPr/>
            </w:pPr>
            <w:r>
              <w:rPr/>
              <w:t> </w:t>
            </w:r>
          </w:p>
        </w:tc>
      </w:tr>
      <w:tr>
        <w:trPr/>
        <w:tc>
          <w:tcPr>
            <w:tcW w:w="5667"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2,333</w:t>
            </w:r>
          </w:p>
        </w:tc>
        <w:tc>
          <w:tcPr>
            <w:tcW w:w="159" w:type="dxa"/>
            <w:tcBorders/>
            <w:vAlign w:val="bottom"/>
          </w:tcPr>
          <w:p>
            <w:pPr>
              <w:pStyle w:val="TableContents"/>
              <w:bidi w:val="0"/>
              <w:spacing w:before="0" w:after="283"/>
              <w:jc w:val="left"/>
              <w:rPr/>
            </w:pPr>
            <w:r>
              <w:rPr/>
              <w:t> </w:t>
            </w:r>
          </w:p>
        </w:tc>
      </w:tr>
      <w:tr>
        <w:trPr/>
        <w:tc>
          <w:tcPr>
            <w:tcW w:w="56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1,200</w:t>
            </w:r>
          </w:p>
        </w:tc>
        <w:tc>
          <w:tcPr>
            <w:tcW w:w="159" w:type="dxa"/>
            <w:tcBorders/>
            <w:shd w:fill="CCEEFF" w:val="clear"/>
            <w:vAlign w:val="bottom"/>
          </w:tcPr>
          <w:p>
            <w:pPr>
              <w:pStyle w:val="TableContents"/>
              <w:bidi w:val="0"/>
              <w:spacing w:before="0" w:after="283"/>
              <w:jc w:val="left"/>
              <w:rPr/>
            </w:pPr>
            <w:r>
              <w:rPr/>
              <w:t> </w:t>
            </w:r>
          </w:p>
        </w:tc>
      </w:tr>
      <w:tr>
        <w:trPr/>
        <w:tc>
          <w:tcPr>
            <w:tcW w:w="5667"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58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66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future minimum lease payments</w:t>
            </w:r>
          </w:p>
        </w:tc>
        <w:tc>
          <w:tcPr>
            <w:tcW w:w="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585" w:type="dxa"/>
            <w:tcBorders/>
            <w:vAlign w:val="bottom"/>
          </w:tcPr>
          <w:p>
            <w:pPr>
              <w:pStyle w:val="TableContents"/>
              <w:bidi w:val="0"/>
              <w:spacing w:before="0" w:after="283"/>
              <w:jc w:val="right"/>
              <w:rPr/>
            </w:pPr>
            <w:r>
              <w:rPr/>
              <w:t>5,787</w:t>
            </w:r>
          </w:p>
        </w:tc>
        <w:tc>
          <w:tcPr>
            <w:tcW w:w="159" w:type="dxa"/>
            <w:tcBorders/>
            <w:vAlign w:val="bottom"/>
          </w:tcPr>
          <w:p>
            <w:pPr>
              <w:pStyle w:val="TableContents"/>
              <w:bidi w:val="0"/>
              <w:spacing w:before="0" w:after="283"/>
              <w:jc w:val="left"/>
              <w:rPr/>
            </w:pPr>
            <w:r>
              <w:rPr/>
              <w:t> </w:t>
            </w:r>
          </w:p>
        </w:tc>
      </w:tr>
      <w:tr>
        <w:trPr/>
        <w:tc>
          <w:tcPr>
            <w:tcW w:w="56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(525</w:t>
            </w:r>
          </w:p>
        </w:tc>
        <w:tc>
          <w:tcPr>
            <w:tcW w:w="159" w:type="dxa"/>
            <w:tcBorders/>
            <w:shd w:fill="CCEEFF" w:val="clear"/>
            <w:vAlign w:val="bottom"/>
          </w:tcPr>
          <w:p>
            <w:pPr>
              <w:pStyle w:val="TableContents"/>
              <w:bidi w:val="0"/>
              <w:spacing w:before="0" w:after="283"/>
              <w:jc w:val="left"/>
              <w:rPr/>
            </w:pPr>
            <w:r>
              <w:rPr/>
              <w:t>) </w:t>
            </w:r>
          </w:p>
        </w:tc>
      </w:tr>
      <w:tr>
        <w:trPr/>
        <w:tc>
          <w:tcPr>
            <w:tcW w:w="5667"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58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667" w:type="dxa"/>
            <w:tcBorders/>
          </w:tcPr>
          <w:p>
            <w:pPr>
              <w:pStyle w:val="TableContents"/>
              <w:bidi w:val="0"/>
              <w:spacing w:before="0" w:after="0"/>
              <w:jc w:val="left"/>
              <w:rPr>
                <w:rFonts w:ascii="Times New Roman" w:hAnsi="Times New Roman"/>
                <w:b/>
                <w:sz w:val="20"/>
              </w:rPr>
            </w:pPr>
            <w:r>
              <w:rPr>
                <w:rFonts w:ascii="Times New Roman" w:hAnsi="Times New Roman"/>
                <w:b/>
                <w:sz w:val="20"/>
              </w:rPr>
              <w:t>Present value of operating lease liabilities</w:t>
            </w:r>
          </w:p>
        </w:tc>
        <w:tc>
          <w:tcPr>
            <w:tcW w:w="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585" w:type="dxa"/>
            <w:tcBorders/>
            <w:vAlign w:val="bottom"/>
          </w:tcPr>
          <w:p>
            <w:pPr>
              <w:pStyle w:val="TableContents"/>
              <w:bidi w:val="0"/>
              <w:spacing w:before="0" w:after="283"/>
              <w:jc w:val="right"/>
              <w:rPr/>
            </w:pPr>
            <w:r>
              <w:rPr/>
              <w:t>5,262</w:t>
            </w:r>
          </w:p>
        </w:tc>
        <w:tc>
          <w:tcPr>
            <w:tcW w:w="159" w:type="dxa"/>
            <w:tcBorders/>
            <w:vAlign w:val="bottom"/>
          </w:tcPr>
          <w:p>
            <w:pPr>
              <w:pStyle w:val="TableContents"/>
              <w:bidi w:val="0"/>
              <w:spacing w:before="0" w:after="283"/>
              <w:jc w:val="left"/>
              <w:rPr/>
            </w:pPr>
            <w:r>
              <w:rPr/>
              <w:t> </w:t>
            </w:r>
          </w:p>
        </w:tc>
      </w:tr>
      <w:tr>
        <w:trPr/>
        <w:tc>
          <w:tcPr>
            <w:tcW w:w="5667"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58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Legal Contingencies </w:t>
      </w:r>
    </w:p>
    <w:p>
      <w:pPr>
        <w:pStyle w:val="TextBody"/>
        <w:bidi w:val="0"/>
        <w:spacing w:before="120" w:after="0"/>
        <w:jc w:val="both"/>
        <w:rPr>
          <w:rFonts w:ascii="Times New Roman" w:hAnsi="Times New Roman"/>
          <w:sz w:val="20"/>
        </w:rPr>
      </w:pPr>
      <w:r>
        <w:rPr>
          <w:rFonts w:ascii="Times New Roman" w:hAnsi="Times New Roman"/>
          <w:sz w:val="20"/>
        </w:rPr>
        <w:t xml:space="preserve">From time to time, the Company may become involved in legal proceedings arising from the ordinary course of business. The Company records a liability for such matters when it is probable that future losses will be incurred and that such losses can be reasonably estimated. Significant judgment by the Company is required to determine both probability and the estimated amount. The Company was not a party to any material legal proceedings or claims and no liabilities were recorded for loss contingencies as of December 31, 2025 and 2024 that could have a material adverse effect on the Company’s financial position, results of operations or cash flows.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Indemnification Agreements </w:t>
      </w:r>
    </w:p>
    <w:p>
      <w:pPr>
        <w:pStyle w:val="TextBody"/>
        <w:bidi w:val="0"/>
        <w:spacing w:before="120" w:after="0"/>
        <w:jc w:val="both"/>
        <w:rPr>
          <w:rFonts w:ascii="Times New Roman" w:hAnsi="Times New Roman"/>
          <w:sz w:val="20"/>
        </w:rPr>
      </w:pPr>
      <w:r>
        <w:rPr>
          <w:rFonts w:ascii="Times New Roman" w:hAnsi="Times New Roman"/>
          <w:sz w:val="20"/>
        </w:rPr>
        <w:t xml:space="preserve">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require the Company, among other things, to indemnify them against certain liabilities that may arise by reason of their status or service as directors or officers to the fullest extent permitted by Delaware corporate law. The Company currently has directors’ and officers’ liability insurance.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7.</w:t>
            </w:r>
          </w:p>
        </w:tc>
        <w:tc>
          <w:tcPr>
            <w:tcW w:w="9799"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Redeemable Convertible Preferred Stock </w:t>
            </w:r>
          </w:p>
        </w:tc>
      </w:tr>
    </w:tbl>
    <w:p>
      <w:pPr>
        <w:pStyle w:val="TextBody"/>
        <w:bidi w:val="0"/>
        <w:spacing w:before="120" w:after="0"/>
        <w:jc w:val="both"/>
        <w:rPr>
          <w:rFonts w:ascii="Times New Roman" w:hAnsi="Times New Roman"/>
          <w:sz w:val="20"/>
        </w:rPr>
      </w:pPr>
      <w:r>
        <w:rPr>
          <w:rFonts w:ascii="Times New Roman" w:hAnsi="Times New Roman"/>
          <w:sz w:val="20"/>
        </w:rPr>
        <w:t xml:space="preserve">As of December 31, 2024 and 2025, redeemable convertible preferred stock consisted of the following (in thousands, except share and price data):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2087"/>
        <w:gridCol w:w="214"/>
        <w:gridCol w:w="60"/>
        <w:gridCol w:w="1316"/>
        <w:gridCol w:w="60"/>
        <w:gridCol w:w="214"/>
        <w:gridCol w:w="270"/>
        <w:gridCol w:w="918"/>
        <w:gridCol w:w="60"/>
        <w:gridCol w:w="214"/>
        <w:gridCol w:w="60"/>
        <w:gridCol w:w="1353"/>
        <w:gridCol w:w="60"/>
        <w:gridCol w:w="214"/>
        <w:gridCol w:w="143"/>
        <w:gridCol w:w="897"/>
        <w:gridCol w:w="60"/>
        <w:gridCol w:w="213"/>
        <w:gridCol w:w="193"/>
        <w:gridCol w:w="1122"/>
        <w:gridCol w:w="68"/>
      </w:tblGrid>
      <w:tr>
        <w:trPr/>
        <w:tc>
          <w:tcPr>
            <w:tcW w:w="2087"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08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7427"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8" w:type="dxa"/>
            <w:tcBorders/>
            <w:vAlign w:val="bottom"/>
          </w:tcPr>
          <w:p>
            <w:pPr>
              <w:pStyle w:val="TableContents"/>
              <w:bidi w:val="0"/>
              <w:spacing w:before="0" w:after="283"/>
              <w:jc w:val="left"/>
              <w:rPr/>
            </w:pPr>
            <w:r>
              <w:rPr/>
              <w:t> </w:t>
            </w:r>
          </w:p>
        </w:tc>
      </w:tr>
      <w:tr>
        <w:trPr/>
        <w:tc>
          <w:tcPr>
            <w:tcW w:w="208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3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Authorized</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Original</w:t>
              <w:br/>
              <w:t>Issue Price</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Issued</w:t>
              <w:br/>
              <w:t>and</w:t>
              <w:br/>
              <w:t>Outstanding</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w:t>
              <w:br/>
              <w:t>Value</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Liquidation</w:t>
              <w:br/>
              <w:t>Value</w:t>
            </w:r>
          </w:p>
        </w:tc>
        <w:tc>
          <w:tcPr>
            <w:tcW w:w="68" w:type="dxa"/>
            <w:tcBorders/>
            <w:vAlign w:val="bottom"/>
          </w:tcPr>
          <w:p>
            <w:pPr>
              <w:pStyle w:val="TableContents"/>
              <w:bidi w:val="0"/>
              <w:spacing w:before="0" w:after="283"/>
              <w:jc w:val="left"/>
              <w:rPr/>
            </w:pPr>
            <w:r>
              <w:rPr/>
              <w:t> </w:t>
            </w:r>
          </w:p>
        </w:tc>
      </w:tr>
      <w:tr>
        <w:trPr/>
        <w:tc>
          <w:tcPr>
            <w:tcW w:w="20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A-1</w:t>
            </w:r>
          </w:p>
        </w:tc>
        <w:tc>
          <w:tcPr>
            <w:tcW w:w="2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30,425,000</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w:t>
            </w:r>
          </w:p>
        </w:tc>
        <w:tc>
          <w:tcPr>
            <w:tcW w:w="91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30,425,000</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97" w:type="dxa"/>
            <w:tcBorders/>
            <w:shd w:fill="CCEEFF" w:val="clear"/>
            <w:vAlign w:val="bottom"/>
          </w:tcPr>
          <w:p>
            <w:pPr>
              <w:pStyle w:val="TableContents"/>
              <w:bidi w:val="0"/>
              <w:spacing w:before="0" w:after="283"/>
              <w:jc w:val="right"/>
              <w:rPr/>
            </w:pPr>
            <w:r>
              <w:rPr/>
              <w:t>26,046</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1122" w:type="dxa"/>
            <w:tcBorders/>
            <w:shd w:fill="CCEEFF" w:val="clear"/>
            <w:vAlign w:val="bottom"/>
          </w:tcPr>
          <w:p>
            <w:pPr>
              <w:pStyle w:val="TableContents"/>
              <w:bidi w:val="0"/>
              <w:spacing w:before="0" w:after="283"/>
              <w:jc w:val="right"/>
              <w:rPr/>
            </w:pPr>
            <w:r>
              <w:rPr/>
              <w:t>30,425</w:t>
            </w:r>
          </w:p>
        </w:tc>
        <w:tc>
          <w:tcPr>
            <w:tcW w:w="68" w:type="dxa"/>
            <w:tcBorders/>
            <w:shd w:fill="CCEEFF" w:val="clear"/>
            <w:vAlign w:val="bottom"/>
          </w:tcPr>
          <w:p>
            <w:pPr>
              <w:pStyle w:val="TableContents"/>
              <w:bidi w:val="0"/>
              <w:spacing w:before="0" w:after="283"/>
              <w:jc w:val="left"/>
              <w:rPr/>
            </w:pPr>
            <w:r>
              <w:rPr/>
              <w:t> </w:t>
            </w:r>
          </w:p>
        </w:tc>
      </w:tr>
      <w:tr>
        <w:trPr/>
        <w:tc>
          <w:tcPr>
            <w:tcW w:w="2087" w:type="dxa"/>
            <w:tcBorders/>
          </w:tcPr>
          <w:p>
            <w:pPr>
              <w:pStyle w:val="TableContents"/>
              <w:bidi w:val="0"/>
              <w:spacing w:before="0" w:after="0"/>
              <w:jc w:val="left"/>
              <w:rPr>
                <w:rFonts w:ascii="Times New Roman" w:hAnsi="Times New Roman"/>
                <w:sz w:val="20"/>
              </w:rPr>
            </w:pPr>
            <w:r>
              <w:rPr>
                <w:rFonts w:ascii="Times New Roman" w:hAnsi="Times New Roman"/>
                <w:sz w:val="20"/>
              </w:rPr>
              <w:t>Series A-2</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27,659,090</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w:t>
            </w:r>
          </w:p>
        </w:tc>
        <w:tc>
          <w:tcPr>
            <w:tcW w:w="918" w:type="dxa"/>
            <w:tcBorders/>
            <w:vAlign w:val="bottom"/>
          </w:tcPr>
          <w:p>
            <w:pPr>
              <w:pStyle w:val="TableContents"/>
              <w:bidi w:val="0"/>
              <w:spacing w:before="0" w:after="283"/>
              <w:jc w:val="right"/>
              <w:rPr/>
            </w:pPr>
            <w:r>
              <w:rPr/>
              <w:t>1.10</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27,659,090</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30,407</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30,425</w:t>
            </w:r>
          </w:p>
        </w:tc>
        <w:tc>
          <w:tcPr>
            <w:tcW w:w="68" w:type="dxa"/>
            <w:tcBorders/>
            <w:vAlign w:val="bottom"/>
          </w:tcPr>
          <w:p>
            <w:pPr>
              <w:pStyle w:val="TableContents"/>
              <w:bidi w:val="0"/>
              <w:spacing w:before="0" w:after="283"/>
              <w:jc w:val="left"/>
              <w:rPr/>
            </w:pPr>
            <w:r>
              <w:rPr/>
              <w:t> </w:t>
            </w:r>
          </w:p>
        </w:tc>
      </w:tr>
      <w:tr>
        <w:trPr/>
        <w:tc>
          <w:tcPr>
            <w:tcW w:w="20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B</w:t>
            </w:r>
          </w:p>
        </w:tc>
        <w:tc>
          <w:tcPr>
            <w:tcW w:w="2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76,363,636</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w:t>
            </w:r>
          </w:p>
        </w:tc>
        <w:tc>
          <w:tcPr>
            <w:tcW w:w="918" w:type="dxa"/>
            <w:tcBorders/>
            <w:shd w:fill="CCEEFF" w:val="clear"/>
            <w:vAlign w:val="bottom"/>
          </w:tcPr>
          <w:p>
            <w:pPr>
              <w:pStyle w:val="TableContents"/>
              <w:bidi w:val="0"/>
              <w:spacing w:before="0" w:after="283"/>
              <w:jc w:val="right"/>
              <w:rPr/>
            </w:pPr>
            <w:r>
              <w:rPr/>
              <w:t>1.38</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38,181,818</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52,500</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52,500</w:t>
            </w:r>
          </w:p>
        </w:tc>
        <w:tc>
          <w:tcPr>
            <w:tcW w:w="68" w:type="dxa"/>
            <w:tcBorders/>
            <w:shd w:fill="CCEEFF" w:val="clear"/>
            <w:vAlign w:val="bottom"/>
          </w:tcPr>
          <w:p>
            <w:pPr>
              <w:pStyle w:val="TableContents"/>
              <w:bidi w:val="0"/>
              <w:spacing w:before="0" w:after="283"/>
              <w:jc w:val="left"/>
              <w:rPr/>
            </w:pPr>
            <w:r>
              <w:rPr/>
              <w:t> </w:t>
            </w:r>
          </w:p>
        </w:tc>
      </w:tr>
      <w:tr>
        <w:trPr/>
        <w:tc>
          <w:tcPr>
            <w:tcW w:w="2087"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sz w:val="4"/>
                <w:szCs w:val="4"/>
              </w:rPr>
            </w:pPr>
            <w:r>
              <w:rPr>
                <w:sz w:val="4"/>
                <w:szCs w:val="4"/>
              </w:rPr>
            </w:r>
          </w:p>
        </w:tc>
        <w:tc>
          <w:tcPr>
            <w:tcW w:w="9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2087" w:type="dxa"/>
            <w:tcBorders/>
          </w:tcPr>
          <w:p>
            <w:pPr>
              <w:pStyle w:val="TableContents"/>
              <w:bidi w:val="0"/>
              <w:spacing w:before="0" w:after="0"/>
              <w:jc w:val="left"/>
              <w:rPr/>
            </w:pPr>
            <w:r>
              <w:rPr/>
              <w:t>    </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134,447,726</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sz w:val="4"/>
                <w:szCs w:val="4"/>
              </w:rPr>
            </w:pPr>
            <w:r>
              <w:rPr>
                <w:sz w:val="4"/>
                <w:szCs w:val="4"/>
              </w:rPr>
            </w:r>
          </w:p>
        </w:tc>
        <w:tc>
          <w:tcPr>
            <w:tcW w:w="9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96,265,908</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897" w:type="dxa"/>
            <w:tcBorders/>
            <w:vAlign w:val="bottom"/>
          </w:tcPr>
          <w:p>
            <w:pPr>
              <w:pStyle w:val="TableContents"/>
              <w:bidi w:val="0"/>
              <w:spacing w:before="0" w:after="283"/>
              <w:jc w:val="right"/>
              <w:rPr/>
            </w:pPr>
            <w:r>
              <w:rPr/>
              <w:t>108,953</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1122" w:type="dxa"/>
            <w:tcBorders/>
            <w:vAlign w:val="bottom"/>
          </w:tcPr>
          <w:p>
            <w:pPr>
              <w:pStyle w:val="TableContents"/>
              <w:bidi w:val="0"/>
              <w:spacing w:before="0" w:after="283"/>
              <w:jc w:val="right"/>
              <w:rPr/>
            </w:pPr>
            <w:r>
              <w:rPr/>
              <w:t>113,350</w:t>
            </w:r>
          </w:p>
        </w:tc>
        <w:tc>
          <w:tcPr>
            <w:tcW w:w="68" w:type="dxa"/>
            <w:tcBorders/>
            <w:vAlign w:val="bottom"/>
          </w:tcPr>
          <w:p>
            <w:pPr>
              <w:pStyle w:val="TableContents"/>
              <w:bidi w:val="0"/>
              <w:spacing w:before="0" w:after="283"/>
              <w:jc w:val="left"/>
              <w:rPr/>
            </w:pPr>
            <w:r>
              <w:rPr/>
              <w:t> </w:t>
            </w:r>
          </w:p>
        </w:tc>
      </w:tr>
      <w:tr>
        <w:trPr/>
        <w:tc>
          <w:tcPr>
            <w:tcW w:w="2087"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sz w:val="4"/>
                <w:szCs w:val="4"/>
              </w:rPr>
            </w:pPr>
            <w:r>
              <w:rPr>
                <w:sz w:val="4"/>
                <w:szCs w:val="4"/>
              </w:rPr>
            </w:r>
          </w:p>
        </w:tc>
        <w:tc>
          <w:tcPr>
            <w:tcW w:w="9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8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1122"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rHeight w:val="195" w:hRule="atLeast"/>
        </w:trPr>
        <w:tc>
          <w:tcPr>
            <w:tcW w:w="2087" w:type="dxa"/>
            <w:tcBorders/>
            <w:vAlign w:val="center"/>
          </w:tcPr>
          <w:p>
            <w:pPr>
              <w:pStyle w:val="TableContents"/>
              <w:bidi w:val="0"/>
              <w:spacing w:before="0" w:after="283"/>
              <w:jc w:val="left"/>
              <w:rPr>
                <w:sz w:val="4"/>
                <w:szCs w:val="4"/>
              </w:rPr>
            </w:pPr>
            <w:r>
              <w:rPr>
                <w:sz w:val="4"/>
                <w:szCs w:val="4"/>
              </w:rPr>
            </w:r>
          </w:p>
        </w:tc>
        <w:tc>
          <w:tcPr>
            <w:tcW w:w="7709" w:type="dxa"/>
            <w:gridSpan w:val="20"/>
            <w:tcBorders/>
            <w:vAlign w:val="center"/>
          </w:tcPr>
          <w:p>
            <w:pPr>
              <w:pStyle w:val="TableContents"/>
              <w:bidi w:val="0"/>
              <w:spacing w:before="0" w:after="283"/>
              <w:jc w:val="left"/>
              <w:rPr>
                <w:sz w:val="4"/>
                <w:szCs w:val="4"/>
              </w:rPr>
            </w:pPr>
            <w:r>
              <w:rPr>
                <w:sz w:val="4"/>
                <w:szCs w:val="4"/>
              </w:rPr>
            </w:r>
          </w:p>
        </w:tc>
      </w:tr>
      <w:tr>
        <w:trPr/>
        <w:tc>
          <w:tcPr>
            <w:tcW w:w="208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7427"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8" w:type="dxa"/>
            <w:tcBorders/>
            <w:vAlign w:val="bottom"/>
          </w:tcPr>
          <w:p>
            <w:pPr>
              <w:pStyle w:val="TableContents"/>
              <w:bidi w:val="0"/>
              <w:spacing w:before="0" w:after="283"/>
              <w:jc w:val="left"/>
              <w:rPr/>
            </w:pPr>
            <w:r>
              <w:rPr/>
              <w:t> </w:t>
            </w:r>
          </w:p>
        </w:tc>
      </w:tr>
      <w:tr>
        <w:trPr/>
        <w:tc>
          <w:tcPr>
            <w:tcW w:w="208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3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Authorized</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Original</w:t>
              <w:br/>
              <w:t>Issue Price</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Issued</w:t>
              <w:br/>
              <w:t>and</w:t>
              <w:br/>
              <w:t>Outstanding</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w:t>
              <w:br/>
              <w:t>Value</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Liquidation</w:t>
              <w:br/>
              <w:t>Value</w:t>
            </w:r>
          </w:p>
        </w:tc>
        <w:tc>
          <w:tcPr>
            <w:tcW w:w="68" w:type="dxa"/>
            <w:tcBorders/>
            <w:vAlign w:val="bottom"/>
          </w:tcPr>
          <w:p>
            <w:pPr>
              <w:pStyle w:val="TableContents"/>
              <w:bidi w:val="0"/>
              <w:spacing w:before="0" w:after="283"/>
              <w:jc w:val="left"/>
              <w:rPr/>
            </w:pPr>
            <w:r>
              <w:rPr/>
              <w:t> </w:t>
            </w:r>
          </w:p>
        </w:tc>
      </w:tr>
      <w:tr>
        <w:trPr/>
        <w:tc>
          <w:tcPr>
            <w:tcW w:w="20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A-1</w:t>
            </w:r>
          </w:p>
        </w:tc>
        <w:tc>
          <w:tcPr>
            <w:tcW w:w="2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30,425,000</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w:t>
            </w:r>
          </w:p>
        </w:tc>
        <w:tc>
          <w:tcPr>
            <w:tcW w:w="91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30,425,000</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97" w:type="dxa"/>
            <w:tcBorders/>
            <w:shd w:fill="CCEEFF" w:val="clear"/>
            <w:vAlign w:val="bottom"/>
          </w:tcPr>
          <w:p>
            <w:pPr>
              <w:pStyle w:val="TableContents"/>
              <w:bidi w:val="0"/>
              <w:spacing w:before="0" w:after="283"/>
              <w:jc w:val="right"/>
              <w:rPr/>
            </w:pPr>
            <w:r>
              <w:rPr/>
              <w:t>26,046</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1122" w:type="dxa"/>
            <w:tcBorders/>
            <w:shd w:fill="CCEEFF" w:val="clear"/>
            <w:vAlign w:val="bottom"/>
          </w:tcPr>
          <w:p>
            <w:pPr>
              <w:pStyle w:val="TableContents"/>
              <w:bidi w:val="0"/>
              <w:spacing w:before="0" w:after="283"/>
              <w:jc w:val="right"/>
              <w:rPr/>
            </w:pPr>
            <w:r>
              <w:rPr/>
              <w:t>30,425</w:t>
            </w:r>
          </w:p>
        </w:tc>
        <w:tc>
          <w:tcPr>
            <w:tcW w:w="68" w:type="dxa"/>
            <w:tcBorders/>
            <w:shd w:fill="CCEEFF" w:val="clear"/>
            <w:vAlign w:val="bottom"/>
          </w:tcPr>
          <w:p>
            <w:pPr>
              <w:pStyle w:val="TableContents"/>
              <w:bidi w:val="0"/>
              <w:spacing w:before="0" w:after="283"/>
              <w:jc w:val="left"/>
              <w:rPr/>
            </w:pPr>
            <w:r>
              <w:rPr/>
              <w:t> </w:t>
            </w:r>
          </w:p>
        </w:tc>
      </w:tr>
      <w:tr>
        <w:trPr/>
        <w:tc>
          <w:tcPr>
            <w:tcW w:w="2087" w:type="dxa"/>
            <w:tcBorders/>
          </w:tcPr>
          <w:p>
            <w:pPr>
              <w:pStyle w:val="TableContents"/>
              <w:bidi w:val="0"/>
              <w:spacing w:before="0" w:after="0"/>
              <w:jc w:val="left"/>
              <w:rPr>
                <w:rFonts w:ascii="Times New Roman" w:hAnsi="Times New Roman"/>
                <w:sz w:val="20"/>
              </w:rPr>
            </w:pPr>
            <w:r>
              <w:rPr>
                <w:rFonts w:ascii="Times New Roman" w:hAnsi="Times New Roman"/>
                <w:sz w:val="20"/>
              </w:rPr>
              <w:t>Series A-2</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27,659,090</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w:t>
            </w:r>
          </w:p>
        </w:tc>
        <w:tc>
          <w:tcPr>
            <w:tcW w:w="918" w:type="dxa"/>
            <w:tcBorders/>
            <w:vAlign w:val="bottom"/>
          </w:tcPr>
          <w:p>
            <w:pPr>
              <w:pStyle w:val="TableContents"/>
              <w:bidi w:val="0"/>
              <w:spacing w:before="0" w:after="283"/>
              <w:jc w:val="right"/>
              <w:rPr/>
            </w:pPr>
            <w:r>
              <w:rPr/>
              <w:t>1.10</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27,659,090</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30,407</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30,425</w:t>
            </w:r>
          </w:p>
        </w:tc>
        <w:tc>
          <w:tcPr>
            <w:tcW w:w="68" w:type="dxa"/>
            <w:tcBorders/>
            <w:vAlign w:val="bottom"/>
          </w:tcPr>
          <w:p>
            <w:pPr>
              <w:pStyle w:val="TableContents"/>
              <w:bidi w:val="0"/>
              <w:spacing w:before="0" w:after="283"/>
              <w:jc w:val="left"/>
              <w:rPr/>
            </w:pPr>
            <w:r>
              <w:rPr/>
              <w:t> </w:t>
            </w:r>
          </w:p>
        </w:tc>
      </w:tr>
      <w:tr>
        <w:trPr/>
        <w:tc>
          <w:tcPr>
            <w:tcW w:w="20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B</w:t>
            </w:r>
          </w:p>
        </w:tc>
        <w:tc>
          <w:tcPr>
            <w:tcW w:w="2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76,363,636</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w:t>
            </w:r>
          </w:p>
        </w:tc>
        <w:tc>
          <w:tcPr>
            <w:tcW w:w="918" w:type="dxa"/>
            <w:tcBorders/>
            <w:shd w:fill="CCEEFF" w:val="clear"/>
            <w:vAlign w:val="bottom"/>
          </w:tcPr>
          <w:p>
            <w:pPr>
              <w:pStyle w:val="TableContents"/>
              <w:bidi w:val="0"/>
              <w:spacing w:before="0" w:after="283"/>
              <w:jc w:val="right"/>
              <w:rPr/>
            </w:pPr>
            <w:r>
              <w:rPr/>
              <w:t>1.38</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76,363,636</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111,773</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105,000</w:t>
            </w:r>
          </w:p>
        </w:tc>
        <w:tc>
          <w:tcPr>
            <w:tcW w:w="68" w:type="dxa"/>
            <w:tcBorders/>
            <w:shd w:fill="CCEEFF" w:val="clear"/>
            <w:vAlign w:val="bottom"/>
          </w:tcPr>
          <w:p>
            <w:pPr>
              <w:pStyle w:val="TableContents"/>
              <w:bidi w:val="0"/>
              <w:spacing w:before="0" w:after="283"/>
              <w:jc w:val="left"/>
              <w:rPr/>
            </w:pPr>
            <w:r>
              <w:rPr/>
              <w:t> </w:t>
            </w:r>
          </w:p>
        </w:tc>
      </w:tr>
      <w:tr>
        <w:trPr/>
        <w:tc>
          <w:tcPr>
            <w:tcW w:w="2087" w:type="dxa"/>
            <w:tcBorders/>
          </w:tcPr>
          <w:p>
            <w:pPr>
              <w:pStyle w:val="TableContents"/>
              <w:bidi w:val="0"/>
              <w:spacing w:before="0" w:after="0"/>
              <w:jc w:val="left"/>
              <w:rPr>
                <w:rFonts w:ascii="Times New Roman" w:hAnsi="Times New Roman"/>
                <w:sz w:val="20"/>
              </w:rPr>
            </w:pPr>
            <w:r>
              <w:rPr>
                <w:rFonts w:ascii="Times New Roman" w:hAnsi="Times New Roman"/>
                <w:sz w:val="20"/>
              </w:rPr>
              <w:t>Series C</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65,454,544</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w:t>
            </w:r>
          </w:p>
        </w:tc>
        <w:tc>
          <w:tcPr>
            <w:tcW w:w="918" w:type="dxa"/>
            <w:tcBorders/>
            <w:vAlign w:val="bottom"/>
          </w:tcPr>
          <w:p>
            <w:pPr>
              <w:pStyle w:val="TableContents"/>
              <w:bidi w:val="0"/>
              <w:spacing w:before="0" w:after="283"/>
              <w:jc w:val="right"/>
              <w:rPr/>
            </w:pPr>
            <w:r>
              <w:rPr/>
              <w:t>1.38</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65,454,544</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90,000</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90,000</w:t>
            </w:r>
          </w:p>
        </w:tc>
        <w:tc>
          <w:tcPr>
            <w:tcW w:w="68" w:type="dxa"/>
            <w:tcBorders/>
            <w:vAlign w:val="bottom"/>
          </w:tcPr>
          <w:p>
            <w:pPr>
              <w:pStyle w:val="TableContents"/>
              <w:bidi w:val="0"/>
              <w:spacing w:before="0" w:after="283"/>
              <w:jc w:val="left"/>
              <w:rPr/>
            </w:pPr>
            <w:r>
              <w:rPr/>
              <w:t> </w:t>
            </w:r>
          </w:p>
        </w:tc>
      </w:tr>
      <w:tr>
        <w:trPr/>
        <w:tc>
          <w:tcPr>
            <w:tcW w:w="2087"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sz w:val="4"/>
                <w:szCs w:val="4"/>
              </w:rPr>
            </w:pPr>
            <w:r>
              <w:rPr>
                <w:sz w:val="4"/>
                <w:szCs w:val="4"/>
              </w:rPr>
            </w:r>
          </w:p>
        </w:tc>
        <w:tc>
          <w:tcPr>
            <w:tcW w:w="9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2087" w:type="dxa"/>
            <w:tcBorders/>
            <w:shd w:fill="CCEEFF" w:val="clear"/>
          </w:tcPr>
          <w:p>
            <w:pPr>
              <w:pStyle w:val="TableContents"/>
              <w:bidi w:val="0"/>
              <w:spacing w:before="0" w:after="0"/>
              <w:jc w:val="left"/>
              <w:rPr/>
            </w:pPr>
            <w:r>
              <w:rPr/>
              <w:t>    </w:t>
            </w:r>
          </w:p>
        </w:tc>
        <w:tc>
          <w:tcPr>
            <w:tcW w:w="2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199,902,270</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sz w:val="4"/>
                <w:szCs w:val="4"/>
              </w:rPr>
            </w:pPr>
            <w:r>
              <w:rPr>
                <w:sz w:val="4"/>
                <w:szCs w:val="4"/>
              </w:rPr>
            </w:r>
          </w:p>
        </w:tc>
        <w:tc>
          <w:tcPr>
            <w:tcW w:w="9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199,902,270</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97" w:type="dxa"/>
            <w:tcBorders/>
            <w:shd w:fill="CCEEFF" w:val="clear"/>
            <w:vAlign w:val="bottom"/>
          </w:tcPr>
          <w:p>
            <w:pPr>
              <w:pStyle w:val="TableContents"/>
              <w:bidi w:val="0"/>
              <w:spacing w:before="0" w:after="283"/>
              <w:jc w:val="right"/>
              <w:rPr/>
            </w:pPr>
            <w:r>
              <w:rPr/>
              <w:t>258,226</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1122" w:type="dxa"/>
            <w:tcBorders/>
            <w:shd w:fill="CCEEFF" w:val="clear"/>
            <w:vAlign w:val="bottom"/>
          </w:tcPr>
          <w:p>
            <w:pPr>
              <w:pStyle w:val="TableContents"/>
              <w:bidi w:val="0"/>
              <w:spacing w:before="0" w:after="283"/>
              <w:jc w:val="right"/>
              <w:rPr/>
            </w:pPr>
            <w:r>
              <w:rPr/>
              <w:t>255,850</w:t>
            </w:r>
          </w:p>
        </w:tc>
        <w:tc>
          <w:tcPr>
            <w:tcW w:w="68" w:type="dxa"/>
            <w:tcBorders/>
            <w:shd w:fill="CCEEFF" w:val="clear"/>
            <w:vAlign w:val="bottom"/>
          </w:tcPr>
          <w:p>
            <w:pPr>
              <w:pStyle w:val="TableContents"/>
              <w:bidi w:val="0"/>
              <w:spacing w:before="0" w:after="283"/>
              <w:jc w:val="left"/>
              <w:rPr/>
            </w:pPr>
            <w:r>
              <w:rPr/>
              <w:t> </w:t>
            </w:r>
          </w:p>
        </w:tc>
      </w:tr>
      <w:tr>
        <w:trPr/>
        <w:tc>
          <w:tcPr>
            <w:tcW w:w="2087"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sz w:val="4"/>
                <w:szCs w:val="4"/>
              </w:rPr>
            </w:pPr>
            <w:r>
              <w:rPr>
                <w:sz w:val="4"/>
                <w:szCs w:val="4"/>
              </w:rPr>
            </w:r>
          </w:p>
        </w:tc>
        <w:tc>
          <w:tcPr>
            <w:tcW w:w="9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8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1122"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120" w:after="0"/>
        <w:jc w:val="both"/>
        <w:rPr>
          <w:rFonts w:ascii="Times New Roman" w:hAnsi="Times New Roman"/>
          <w:sz w:val="20"/>
        </w:rPr>
      </w:pPr>
      <w:r>
        <w:rPr>
          <w:rFonts w:ascii="Times New Roman" w:hAnsi="Times New Roman"/>
          <w:sz w:val="20"/>
        </w:rPr>
        <w:t>In June 2023, the Company entered into a Series A redeemable convertible preferred stock purchase agreement (the “Series A Purchase Agreement”) with certain investors and issued an aggregate of 30,425,000 shares of Series A-1 redeemable convertible preferred stock at $1.00 per share for total gross proceeds of $30.4 million. The issuance costs were $0.2 million.</w:t>
      </w:r>
    </w:p>
    <w:p>
      <w:pPr>
        <w:pStyle w:val="TextBody"/>
        <w:bidi w:val="0"/>
        <w:spacing w:before="120" w:after="0"/>
        <w:jc w:val="both"/>
        <w:rPr>
          <w:rFonts w:ascii="Times New Roman" w:hAnsi="Times New Roman"/>
          <w:sz w:val="20"/>
        </w:rPr>
      </w:pPr>
      <w:r>
        <w:rPr>
          <w:rFonts w:ascii="Times New Roman" w:hAnsi="Times New Roman"/>
          <w:sz w:val="20"/>
        </w:rPr>
        <w:t xml:space="preserve">The Series A Purchase Agreement also provided for the issuance and sale to the same investors of 27,659,090 shares of Series A-2 redeemable convertible preferred stock at $1.10 per share upon achieving certain milestone conditions (the “Series A Milestone Closing”) on or before December 1, 2025, or, at the option of the investors, any time before that date. The Series A milestone was achieved in December 2023, and upon the occurrence of the Series A Milestone Closing in January 2024, 27,659,090 shares of the Series A-2 redeemable convertible preferred stock were issued at a price of $1.10 per share, which resulted in gross cash proceeds of $30.4 million. The Series A-2 redeemable convertible preferred stock was recorded at fair value based on proceeds received, less issuance costs of less than $0.1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issuance of shares of Series A-1 redeemable convertible preferred stock was recorded at the amount of proceeds received less issuance costs and the amount allocated to the preferred stock tranche liability (see Note 8). </w:t>
      </w:r>
    </w:p>
    <w:p>
      <w:pPr>
        <w:pStyle w:val="TextBody"/>
        <w:bidi w:val="0"/>
        <w:spacing w:before="120" w:after="0"/>
        <w:jc w:val="both"/>
        <w:rPr>
          <w:rFonts w:ascii="Times New Roman" w:hAnsi="Times New Roman"/>
          <w:sz w:val="20"/>
        </w:rPr>
      </w:pPr>
      <w:r>
        <w:rPr>
          <w:rFonts w:ascii="Times New Roman" w:hAnsi="Times New Roman"/>
          <w:sz w:val="20"/>
        </w:rPr>
        <w:t xml:space="preserve">In May 2024, the Company entered into the Series B redeemable convertible preferred stock purchase agreement (the “Series B Purchase Agreement”) with certain investors and issued 38,181,818 shares of Series B redeemable convertible preferred stock at $1.375 per share for total gross proceeds of $52.5 million. The Series B Purchase Agreement also provides for the issuance and sale to the same investors of an additional 38,181,818 shares of Series B redeemable convertible preferred stock (“Series B Second Tranche Shares”) on the same terms as the shares issued at the initial closing, upon achieving the first dosing milestone or if the achievement of such milestone conditions is waived in writing by the holders of at least 66% of the then-outstanding shares of Series B redeemable convertible preferred stock (the “Series B Requisite Holders”) and the Board of Directors of the Company, including a majority of the then seated Preferred Directors (the “Series B Milestone Closing”) on or before June 30, 2026, or, at the option of the investors, at any time before that date. The Series B redeemable convertible preferred stock was recorded at its fair value of $47.5 million, less issuance costs of $0.3 million. </w:t>
      </w:r>
    </w:p>
    <w:p>
      <w:pPr>
        <w:pStyle w:val="TextBody"/>
        <w:bidi w:val="0"/>
        <w:spacing w:before="120" w:after="0"/>
        <w:jc w:val="both"/>
        <w:rPr>
          <w:rFonts w:ascii="Times New Roman" w:hAnsi="Times New Roman"/>
          <w:sz w:val="20"/>
        </w:rPr>
      </w:pPr>
      <w:r>
        <w:rPr>
          <w:rFonts w:ascii="Times New Roman" w:hAnsi="Times New Roman"/>
          <w:sz w:val="20"/>
        </w:rPr>
        <w:t xml:space="preserve">In January 2025, upon the achievement of the Series B milestone, the remaining 38,181,818 shares of the Series B redeemable convertible preferred stock were issued at a price of $1.375 per share, which resulted in gross cash proceeds of $52.5 million. As a result of this issuance, the Series B preferred stock tranche liability of $6.8 million was settled and the Series B redeemable convertible preferred stock was recorded at its fair value of $59.3 million, less issuance costs of less than $0.1 million (see Note 8). </w:t>
      </w:r>
    </w:p>
    <w:p>
      <w:pPr>
        <w:pStyle w:val="TextBody"/>
        <w:bidi w:val="0"/>
        <w:spacing w:before="120" w:after="0"/>
        <w:jc w:val="both"/>
        <w:rPr>
          <w:rFonts w:ascii="Times New Roman" w:hAnsi="Times New Roman"/>
          <w:sz w:val="20"/>
        </w:rPr>
      </w:pPr>
      <w:r>
        <w:rPr>
          <w:rFonts w:ascii="Times New Roman" w:hAnsi="Times New Roman"/>
          <w:sz w:val="20"/>
        </w:rPr>
        <w:t xml:space="preserve">In March 2025, the Company issued 65,454,544 shares of its Series C redeemable convertible preferred stock at a purchase price of $1.375 per share for total gross proceeds of $90.0 million. The Series C redeemable convertible preferred stock was recorded at fair value based on proceeds received, less issuance costs of $0.3 million. </w:t>
      </w:r>
    </w:p>
    <w:p>
      <w:pPr>
        <w:pStyle w:val="TextBody"/>
        <w:bidi w:val="0"/>
        <w:spacing w:before="120" w:after="0"/>
        <w:jc w:val="both"/>
        <w:rPr>
          <w:rFonts w:ascii="Times New Roman" w:hAnsi="Times New Roman"/>
          <w:sz w:val="20"/>
        </w:rPr>
      </w:pPr>
      <w:r>
        <w:rPr>
          <w:rFonts w:ascii="Times New Roman" w:hAnsi="Times New Roman"/>
          <w:sz w:val="20"/>
        </w:rPr>
        <w:t xml:space="preserve">The rights, preferences, privileges and restrictions granted to or imposed on the respective classes of the Company’s capital shares or the holders thereof are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Preference </w:t>
      </w:r>
    </w:p>
    <w:p>
      <w:pPr>
        <w:pStyle w:val="TextBody"/>
        <w:bidi w:val="0"/>
        <w:spacing w:before="120" w:after="0"/>
        <w:jc w:val="both"/>
        <w:rPr>
          <w:rFonts w:ascii="Times New Roman" w:hAnsi="Times New Roman"/>
          <w:sz w:val="20"/>
        </w:rPr>
      </w:pPr>
      <w:r>
        <w:rPr>
          <w:rFonts w:ascii="Times New Roman" w:hAnsi="Times New Roman"/>
          <w:sz w:val="20"/>
        </w:rPr>
        <w:t xml:space="preserve">In the event of any liquidation, dissolution or winding up of the Company, either voluntary or involuntary or a deemed liquidation event, including a merger, acquisition or sale of all or substantially all of the Company’s assets, (each a “Liquidation Event”), the holders of Series C and Series B redeemable convertible preferred stock shall be entitled to receive on a pari passu basis, prior and in preference to any distribution of any of the assets of the Company to the holders of Series A-1 redeemable convertible preferred stock, Series A-2 redeemable convertible preferred stock and common stock, an amount per share equal to the original issue price, plus any dividends declared but unpaid thereon. </w:t>
      </w:r>
    </w:p>
    <w:p>
      <w:pPr>
        <w:pStyle w:val="TextBody"/>
        <w:bidi w:val="0"/>
        <w:spacing w:before="120" w:after="0"/>
        <w:jc w:val="both"/>
        <w:rPr>
          <w:rFonts w:ascii="Times New Roman" w:hAnsi="Times New Roman"/>
          <w:sz w:val="20"/>
        </w:rPr>
      </w:pPr>
      <w:r>
        <w:rPr>
          <w:rFonts w:ascii="Times New Roman" w:hAnsi="Times New Roman"/>
          <w:sz w:val="20"/>
        </w:rPr>
        <w:t xml:space="preserve">After full payment to holders of the Series C and Series B redeemable convertible preferred stock, the holders of Series A-1 and A-2 redeemable convertible preferred stock shall be entitled to receive on a pari passu basis, prior and in preference to any distribution of any of the assets of the Company to the holders of common stock, an amount per share equal to the applicable original issue price, plus any dividends declared but unpaid thereon. </w:t>
      </w:r>
    </w:p>
    <w:p>
      <w:pPr>
        <w:pStyle w:val="TextBody"/>
        <w:bidi w:val="0"/>
        <w:spacing w:before="120" w:after="0"/>
        <w:jc w:val="both"/>
        <w:rPr>
          <w:rFonts w:ascii="Times New Roman" w:hAnsi="Times New Roman"/>
          <w:sz w:val="20"/>
        </w:rPr>
      </w:pPr>
      <w:r>
        <w:rPr>
          <w:rFonts w:ascii="Times New Roman" w:hAnsi="Times New Roman"/>
          <w:sz w:val="20"/>
        </w:rPr>
        <w:t xml:space="preserve">If the assets and funds are insufficient to permit the payment to holders of the redeemable convertible preferred stock of the full preferential amounts, then the entire assets and funds legally available for distribution to stockholders shall be distributed ratably among the holders of the respective series of redeemable convertible preferred stock in proportion to the respective amounts which would otherwise be payable in respect of the shares held by them upon such distribution if all amounts payable on or with respect to such shares were paid in full.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Upon completion of the distributions of the full amounts required above, all of the remaining assets of the Company available for distribution shall be distributed among the holders of redeemable convertible preferred stock and common stock pro rata on an as-converted basis, provided, however, that if the aggregate amount the holders of redeemable convertible preferred stock are entitled to receive shall exceed two and one-half times the applicable original issue price per share of the redeemable convertible preferred stock, as adjusted, plus any dividends declared but unpaid thereon (the “Participation Cap”), each holder of the redeemable convertible preferred stock shall only be entitled to receive the greater of (a) the Participation Cap and (b) the amount such holder would have received if all shares of such series of redeemable convertible preferred stock had been converted into common stock immediately prior to such Liquidation Event.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w:t>
      </w:r>
    </w:p>
    <w:p>
      <w:pPr>
        <w:pStyle w:val="TextBody"/>
        <w:bidi w:val="0"/>
        <w:spacing w:before="120" w:after="0"/>
        <w:jc w:val="both"/>
        <w:rPr>
          <w:rFonts w:ascii="Times New Roman" w:hAnsi="Times New Roman"/>
          <w:sz w:val="20"/>
        </w:rPr>
      </w:pPr>
      <w:r>
        <w:rPr>
          <w:rFonts w:ascii="Times New Roman" w:hAnsi="Times New Roman"/>
          <w:sz w:val="20"/>
        </w:rPr>
        <w:t xml:space="preserve">Each share of redeemable convertible preferred stock is convertible, at the option of the holder thereof, at any time, into such number of fully paid and nonassessable shares of common stock as is determined by dividing the applicable original issue price by the conversion price of $9.29 for shares of Series A-1 redeemable convertible preferred stock, $10.22 for Series A-2 redeemable convertible preferred stock and $12.77 for shares of Series B and Series C redeemable convertible preferred stock, as adjusted for any stock splits, stock dividends, combinations, recapitalizations or the like, as well as any down-round anti-dilution adjustments. </w:t>
      </w:r>
    </w:p>
    <w:p>
      <w:pPr>
        <w:pStyle w:val="TextBody"/>
        <w:bidi w:val="0"/>
        <w:spacing w:before="120" w:after="0"/>
        <w:jc w:val="both"/>
        <w:rPr>
          <w:rFonts w:ascii="Times New Roman" w:hAnsi="Times New Roman"/>
          <w:sz w:val="20"/>
        </w:rPr>
      </w:pPr>
      <w:r>
        <w:rPr>
          <w:rFonts w:ascii="Times New Roman" w:hAnsi="Times New Roman"/>
          <w:sz w:val="20"/>
        </w:rPr>
        <w:t xml:space="preserve">Each share of redeemable convertible preferred stock will automatically be converted into shares of common stock at the then-effective conversion rate either (a) upon the closing of the sale of shares of common stock to the public in a firm-commitment underwritten public offering pursuant to an effective registration statement under the Securities Act of 1933, as amended, that is either (i) approved by the holders of at least 66% of the outstanding shares of redeemable convertible preferred stock, voting together as a single class on an as-converted basis (“Requisite Holders”), including the Series B Requisite Holders and Series C Requisite Holders, or (ii) at a price of at least $15.33 per share, resulting in at least $100.0 million of gross proceeds to the Company and in connection with such offering the Company’s common stock is listed for trading on the Nasdaq Stock Market’s National Market, the New York Stock Exchange or such other international exchange of equal stature, or (b) by vote or written consent of the Requisite 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both"/>
        <w:rPr>
          <w:rFonts w:ascii="Times New Roman" w:hAnsi="Times New Roman"/>
          <w:sz w:val="20"/>
        </w:rPr>
      </w:pPr>
      <w:r>
        <w:rPr>
          <w:rFonts w:ascii="Times New Roman" w:hAnsi="Times New Roman"/>
          <w:sz w:val="20"/>
        </w:rPr>
        <w:t xml:space="preserve">The holders of the outstanding shares of Series C and Series B redeemable convertible preferred stock are entitled to receive, only when, as and if declared by the Company’s board of directors, out of any funds and assets legally available therefor, non-cumulative dividends at the rate of 8% of the original issue price for each share of Series C and Series B redeemable convertible preferred stock, prior and in preference to any dividends paid to the holders of Series A-1 redeemable convertible preferred stock, Series A-2 redeemable convertible preferred stock and common stock (other than dividends on shares of common stock payable in shares of common stock). The holders of the outstanding shares of Series A-2 and Series A-1 redeemable convertible preferred stock are entitled to receive, only when, as and if declared by the Company’s board of directors, out of any funds and assets legally available therefor, non-cumulative dividends at the rate of 8% of the original issue price for each share of Series A-1 and Series A-2 redeemable convertible preferred stock, prior and in preference to any dividends paid to the holders of common stock (other than dividends on shares of common stock payable in shares of common stock). After payment of the full amount of any dividends described above, any additional dividends are distributed among all holders of common stock and the redeemable convertible preferred stock on an as-converted basis. Whenever a dividend is payable in property other than cash, the value of such dividend is deemed to be the fair market value of such property as determined in good faith by the Company’s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No dividends were declared as of December 31, 2024 and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w:t>
      </w:r>
    </w:p>
    <w:p>
      <w:pPr>
        <w:pStyle w:val="TextBody"/>
        <w:bidi w:val="0"/>
        <w:spacing w:before="120" w:after="0"/>
        <w:jc w:val="both"/>
        <w:rPr>
          <w:rFonts w:ascii="Times New Roman" w:hAnsi="Times New Roman"/>
          <w:sz w:val="20"/>
        </w:rPr>
      </w:pPr>
      <w:r>
        <w:rPr>
          <w:rFonts w:ascii="Times New Roman" w:hAnsi="Times New Roman"/>
          <w:sz w:val="20"/>
        </w:rPr>
        <w:t xml:space="preserve">The holders of each share of redeemable convertible preferred stock are entitled to the number of votes equal to the number of shares of common stock into which such shares of redeemable convertible preferred stock could be converted. With respect to such votes, the holders have full voting rights and powers equal to the voting rights and powers of common stock. </w:t>
      </w:r>
    </w:p>
    <w:p>
      <w:pPr>
        <w:pStyle w:val="TextBody"/>
        <w:bidi w:val="0"/>
        <w:spacing w:before="120" w:after="0"/>
        <w:jc w:val="both"/>
        <w:rPr>
          <w:rFonts w:ascii="Times New Roman" w:hAnsi="Times New Roman"/>
          <w:sz w:val="20"/>
        </w:rPr>
      </w:pPr>
      <w:r>
        <w:rPr>
          <w:rFonts w:ascii="Times New Roman" w:hAnsi="Times New Roman"/>
          <w:sz w:val="20"/>
        </w:rPr>
        <w:t xml:space="preserve">The holders of Series C redeemable convertible preferred stock, exclusively and as a separate class, are entitled to elect one director of the Company. The holders of Series B redeemable convertible preferred stock, exclusively and as a separate class, are entitled to elect one director of the Company. The holders of Series A-1 redeemable convertible preferred stock and Series A-2 redeemable convertible preferred stock, exclusively and as a separate class, are entitled to elect two directors of the Company. The holders of common stock, exclusively and as a separate class, are entitled to elect two directors of the Company. The holders of shares of redeemable convertible preferred stock and common stock are entitled, voting together as a combined class and on an as-converted basis, to elect the remaining directors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w:t>
      </w:r>
    </w:p>
    <w:p>
      <w:pPr>
        <w:pStyle w:val="TextBody"/>
        <w:bidi w:val="0"/>
        <w:spacing w:before="120" w:after="0"/>
        <w:jc w:val="both"/>
        <w:rPr>
          <w:rFonts w:ascii="Times New Roman" w:hAnsi="Times New Roman"/>
          <w:sz w:val="20"/>
        </w:rPr>
      </w:pPr>
      <w:r>
        <w:rPr>
          <w:rFonts w:ascii="Times New Roman" w:hAnsi="Times New Roman"/>
          <w:sz w:val="20"/>
        </w:rPr>
        <w:t xml:space="preserve">The shares of Series C redeemable convertible preferred stock shall be redeemed by the Company at a price per share equal to the applicable original issue price, plus all declared but unpaid dividends thereon, in one installment commencing not more than 60 days after receipt by the Company and the other holders of Series C redeemable convertible preferred stock of written notice requesting redemption of all shares of Series C redeemable convertible preferred stock held by such holder of Series C redeemable convertible preferred stock. The redemption can happen at any time on or after March 31, 2035, provided that a firm-commitment underwritten public offering pursuant to an effective registration statement under the Securities Act of 1933, as amended, or a deemed liquidation event, has not occurred prior to that date. </w:t>
      </w:r>
    </w:p>
    <w:p>
      <w:pPr>
        <w:pStyle w:val="TextBody"/>
        <w:bidi w:val="0"/>
        <w:spacing w:before="120" w:after="0"/>
        <w:jc w:val="both"/>
        <w:rPr>
          <w:rFonts w:ascii="Times New Roman" w:hAnsi="Times New Roman"/>
          <w:sz w:val="20"/>
        </w:rPr>
      </w:pPr>
      <w:r>
        <w:rPr>
          <w:rFonts w:ascii="Times New Roman" w:hAnsi="Times New Roman"/>
          <w:sz w:val="20"/>
        </w:rPr>
        <w:t xml:space="preserve">The shares of Series B redeemable convertible preferred stock shall be redeemed by the Company at a price per share equal to the applicable original issue price, plus all declared but unpaid dividends thereon, in one installment commencing not more than 60 days after receipt by the Company and the other holders of Series B redeemable convertible preferred stock of written notice requesting redemption of all shares of Series B redeemable convertible preferred stock held by such holder of Series B redeemable convertible preferred stock. The redemption can happen at any time on or after March 31, 2035, provided that a firm-commitment underwritten public offering pursuant to an effective registration statement under the Securities Act of 1933, as amended, or a deemed liquidation event, has not occurred prior to that date. </w:t>
      </w:r>
    </w:p>
    <w:p>
      <w:pPr>
        <w:pStyle w:val="TextBody"/>
        <w:bidi w:val="0"/>
        <w:spacing w:before="120" w:after="0"/>
        <w:jc w:val="both"/>
        <w:rPr>
          <w:rFonts w:ascii="Times New Roman" w:hAnsi="Times New Roman"/>
          <w:sz w:val="20"/>
        </w:rPr>
      </w:pPr>
      <w:r>
        <w:rPr>
          <w:rFonts w:ascii="Times New Roman" w:hAnsi="Times New Roman"/>
          <w:sz w:val="20"/>
        </w:rPr>
        <w:t xml:space="preserve">The shares of Series A-1 redeemable convertible preferred stock and Series A-2 redeemable convertible preferred stock are not redeemable other than upon the occurrence of a Liquidation Event.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8.</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Preferred Stock Tranche Liabilities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Company determined that the contingent obligations to issue shares of Series A-2 redeemable convertible preferred stock and the Series B Second Tranche Shares at the Series A Milestone Closing and Series B Milestone Closing, respectively, represented freestanding instruments. These instruments, referred to as the Series A preferred stock tranche liability and Series B preferred stock tranche liability, respectively, were accounted for as a liability, initially recorded and subsequently remeasured at fair value until their settlement or expiration.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Series A-2 preferred stock tranche was settled in January 2024, and the fair value of the Series A preferred stock tranche liability as of December 31, 2023 and at the settlement date was negligible. The remeasurement of the Series A-2 preferred stock tranche liability as of the settlement date did not have an impact on the consolidated statements of operations and comprehensive loss for the year ended December 31, 2024. The Series B preferred stock tranche liability was initially recorded as a liability at $5.0 million. The Company remeasured the Series B preferred stock tranche liability as of December 31, 2024 and determined that the fair value of the liability was $6.6 million, and therefore recorded an approximately $1.7 million loss in its consolidated statements of operations and comprehensive loss during the year ended December 31, 2024. The Series B preferred stock tranche was settled in January 2025 when the Series B milestone was achieved (see Note 7). The Company remeasured the Series B preferred stock tranche liability in January 2025 and determined that the fair value of the liability was $6.8 million, and therefore recorded an approximately $0.2 million loss in its consolidated statements of operations and comprehensive loss during the year ended December 31, 2025. </w:t>
      </w:r>
    </w:p>
    <w:p>
      <w:pPr>
        <w:pStyle w:val="TextBody"/>
        <w:bidi w:val="0"/>
        <w:spacing w:before="120" w:after="0"/>
        <w:jc w:val="both"/>
        <w:rPr>
          <w:rFonts w:ascii="Times New Roman" w:hAnsi="Times New Roman"/>
          <w:sz w:val="20"/>
        </w:rPr>
      </w:pPr>
      <w:r>
        <w:rPr>
          <w:rFonts w:ascii="Times New Roman" w:hAnsi="Times New Roman"/>
          <w:sz w:val="20"/>
        </w:rPr>
        <w:t xml:space="preserve">The preferred stock tranche liabilities were valued using a probability-weighted present value calculation. In determining the fair value of the preferred stock tranche liabilities, estimates and assumptions impacting fair value included (i) discount rates, (ii) the expected term of the forward, and (iii) the probability of the tranche closing. Significant increases (decreases) in any of those inputs in isolation may result in a significant change in fair value measurement. The Company determined the per share future value of the Series A-2 redeemable convertible preferred stock and Series B redeemable convertible preferred stock by back-solving to the original issue price of the Series A-2 redeemable convertible preferred stock and Series B redeemable convertible preferred stock financings, respectively. In January 2025, upon the achievement of the Series B milestone, the Series B Milestone Closing was completed, and the associated Series B preferred stock tranche liability was settled. The fair value of the Series B redeemable convertible preferred stock was $1.55 per share and represented the only input used in determining the fair value of the Series B preferred stock tranche liability upon the Series B Milestone Closing. </w:t>
      </w:r>
    </w:p>
    <w:p>
      <w:pPr>
        <w:pStyle w:val="TextBody"/>
        <w:bidi w:val="0"/>
        <w:spacing w:before="120" w:after="0"/>
        <w:jc w:val="both"/>
        <w:rPr>
          <w:rFonts w:ascii="Times New Roman" w:hAnsi="Times New Roman"/>
          <w:sz w:val="20"/>
        </w:rPr>
      </w:pPr>
      <w:r>
        <w:rPr>
          <w:rFonts w:ascii="Times New Roman" w:hAnsi="Times New Roman"/>
          <w:sz w:val="20"/>
        </w:rPr>
        <w:t xml:space="preserve">The Series B preferred stock tranche liability was valued using the following assumptions: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629"/>
        <w:gridCol w:w="716"/>
        <w:gridCol w:w="151"/>
        <w:gridCol w:w="1119"/>
        <w:gridCol w:w="275"/>
        <w:gridCol w:w="627"/>
        <w:gridCol w:w="234"/>
        <w:gridCol w:w="1726"/>
        <w:gridCol w:w="278"/>
      </w:tblGrid>
      <w:tr>
        <w:trPr/>
        <w:tc>
          <w:tcPr>
            <w:tcW w:w="2629" w:type="dxa"/>
            <w:tcBorders/>
            <w:vAlign w:val="center"/>
          </w:tcPr>
          <w:p>
            <w:pPr>
              <w:pStyle w:val="TableContents"/>
              <w:bidi w:val="0"/>
              <w:spacing w:before="0" w:after="283"/>
              <w:jc w:val="left"/>
              <w:rPr>
                <w:sz w:val="4"/>
                <w:szCs w:val="4"/>
              </w:rPr>
            </w:pPr>
            <w:r>
              <w:rPr>
                <w:sz w:val="4"/>
                <w:szCs w:val="4"/>
              </w:rPr>
            </w:r>
          </w:p>
        </w:tc>
        <w:tc>
          <w:tcPr>
            <w:tcW w:w="716"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27"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629"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left"/>
              <w:rPr/>
            </w:pPr>
            <w:r>
              <w:rPr/>
              <w:t>  </w:t>
            </w:r>
          </w:p>
        </w:tc>
        <w:tc>
          <w:tcPr>
            <w:tcW w:w="12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May 1, 2024</w:t>
            </w:r>
          </w:p>
        </w:tc>
        <w:tc>
          <w:tcPr>
            <w:tcW w:w="275"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left"/>
              <w:rPr/>
            </w:pPr>
            <w:r>
              <w:rPr/>
              <w:t> </w:t>
            </w:r>
          </w:p>
        </w:tc>
        <w:tc>
          <w:tcPr>
            <w:tcW w:w="1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278" w:type="dxa"/>
            <w:tcBorders/>
            <w:vAlign w:val="bottom"/>
          </w:tcPr>
          <w:p>
            <w:pPr>
              <w:pStyle w:val="TableContents"/>
              <w:bidi w:val="0"/>
              <w:spacing w:before="0" w:after="283"/>
              <w:jc w:val="left"/>
              <w:rPr/>
            </w:pPr>
            <w:r>
              <w:rPr/>
              <w:t> </w:t>
            </w:r>
          </w:p>
        </w:tc>
      </w:tr>
      <w:tr>
        <w:trPr/>
        <w:tc>
          <w:tcPr>
            <w:tcW w:w="26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Discount rate</w:t>
            </w:r>
          </w:p>
        </w:tc>
        <w:tc>
          <w:tcPr>
            <w:tcW w:w="716"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5.40</w:t>
            </w:r>
          </w:p>
        </w:tc>
        <w:tc>
          <w:tcPr>
            <w:tcW w:w="275"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726" w:type="dxa"/>
            <w:tcBorders/>
            <w:shd w:fill="CCEEFF" w:val="clear"/>
            <w:vAlign w:val="bottom"/>
          </w:tcPr>
          <w:p>
            <w:pPr>
              <w:pStyle w:val="TableContents"/>
              <w:bidi w:val="0"/>
              <w:spacing w:before="0" w:after="283"/>
              <w:jc w:val="right"/>
              <w:rPr/>
            </w:pPr>
            <w:r>
              <w:rPr/>
              <w:t>4.40</w:t>
            </w:r>
          </w:p>
        </w:tc>
        <w:tc>
          <w:tcPr>
            <w:tcW w:w="278" w:type="dxa"/>
            <w:tcBorders/>
            <w:shd w:fill="CCEEFF" w:val="clear"/>
            <w:vAlign w:val="bottom"/>
          </w:tcPr>
          <w:p>
            <w:pPr>
              <w:pStyle w:val="TableContents"/>
              <w:bidi w:val="0"/>
              <w:spacing w:before="0" w:after="283"/>
              <w:jc w:val="left"/>
              <w:rPr/>
            </w:pPr>
            <w:r>
              <w:rPr/>
              <w:t>% </w:t>
            </w:r>
          </w:p>
        </w:tc>
      </w:tr>
      <w:tr>
        <w:trPr/>
        <w:tc>
          <w:tcPr>
            <w:tcW w:w="2629" w:type="dxa"/>
            <w:tcBorders/>
          </w:tcPr>
          <w:p>
            <w:pPr>
              <w:pStyle w:val="TableContents"/>
              <w:bidi w:val="0"/>
              <w:spacing w:before="0" w:after="0"/>
              <w:jc w:val="left"/>
              <w:rPr>
                <w:rFonts w:ascii="Times New Roman" w:hAnsi="Times New Roman"/>
                <w:sz w:val="20"/>
              </w:rPr>
            </w:pPr>
            <w:r>
              <w:rPr>
                <w:rFonts w:ascii="Times New Roman" w:hAnsi="Times New Roman"/>
                <w:sz w:val="20"/>
              </w:rPr>
              <w:t>Term of forward (years)</w:t>
            </w:r>
          </w:p>
        </w:tc>
        <w:tc>
          <w:tcPr>
            <w:tcW w:w="716"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0.67</w:t>
            </w:r>
          </w:p>
        </w:tc>
        <w:tc>
          <w:tcPr>
            <w:tcW w:w="275"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726" w:type="dxa"/>
            <w:tcBorders/>
            <w:vAlign w:val="bottom"/>
          </w:tcPr>
          <w:p>
            <w:pPr>
              <w:pStyle w:val="TableContents"/>
              <w:bidi w:val="0"/>
              <w:spacing w:before="0" w:after="283"/>
              <w:jc w:val="right"/>
              <w:rPr/>
            </w:pPr>
            <w:r>
              <w:rPr/>
              <w:t>0.04</w:t>
            </w:r>
          </w:p>
        </w:tc>
        <w:tc>
          <w:tcPr>
            <w:tcW w:w="278" w:type="dxa"/>
            <w:tcBorders/>
            <w:vAlign w:val="bottom"/>
          </w:tcPr>
          <w:p>
            <w:pPr>
              <w:pStyle w:val="TableContents"/>
              <w:bidi w:val="0"/>
              <w:spacing w:before="0" w:after="283"/>
              <w:jc w:val="left"/>
              <w:rPr/>
            </w:pPr>
            <w:r>
              <w:rPr/>
              <w:t> </w:t>
            </w:r>
          </w:p>
        </w:tc>
      </w:tr>
      <w:tr>
        <w:trPr/>
        <w:tc>
          <w:tcPr>
            <w:tcW w:w="26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Probability of tranche closing</w:t>
            </w:r>
          </w:p>
        </w:tc>
        <w:tc>
          <w:tcPr>
            <w:tcW w:w="716"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75.0</w:t>
            </w:r>
          </w:p>
        </w:tc>
        <w:tc>
          <w:tcPr>
            <w:tcW w:w="275"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726" w:type="dxa"/>
            <w:tcBorders/>
            <w:shd w:fill="CCEEFF" w:val="clear"/>
            <w:vAlign w:val="bottom"/>
          </w:tcPr>
          <w:p>
            <w:pPr>
              <w:pStyle w:val="TableContents"/>
              <w:bidi w:val="0"/>
              <w:spacing w:before="0" w:after="283"/>
              <w:jc w:val="right"/>
              <w:rPr/>
            </w:pPr>
            <w:r>
              <w:rPr/>
              <w:t>97.5</w:t>
            </w:r>
          </w:p>
        </w:tc>
        <w:tc>
          <w:tcPr>
            <w:tcW w:w="27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Common Stock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Company is authorized to issue 284,023,000 shares of common stock with a par value of $0.0001. There were 4,507,108 shares of common stock issued and outstanding as of December 31, 2025. </w:t>
      </w:r>
    </w:p>
    <w:p>
      <w:pPr>
        <w:pStyle w:val="TextBody"/>
        <w:bidi w:val="0"/>
        <w:spacing w:before="120" w:after="0"/>
        <w:jc w:val="both"/>
        <w:rPr>
          <w:rFonts w:ascii="Times New Roman" w:hAnsi="Times New Roman"/>
          <w:sz w:val="20"/>
        </w:rPr>
      </w:pPr>
      <w:r>
        <w:rPr>
          <w:rFonts w:ascii="Times New Roman" w:hAnsi="Times New Roman"/>
          <w:sz w:val="20"/>
        </w:rPr>
        <w:t xml:space="preserve">The Company had reserved common stock, on an as-converted basis, for future issuance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76"/>
        <w:gridCol w:w="304"/>
        <w:gridCol w:w="60"/>
        <w:gridCol w:w="1114"/>
        <w:gridCol w:w="60"/>
        <w:gridCol w:w="304"/>
        <w:gridCol w:w="60"/>
        <w:gridCol w:w="1114"/>
        <w:gridCol w:w="63"/>
      </w:tblGrid>
      <w:tr>
        <w:trPr/>
        <w:tc>
          <w:tcPr>
            <w:tcW w:w="4676"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676"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71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3" w:type="dxa"/>
            <w:tcBorders/>
            <w:vAlign w:val="bottom"/>
          </w:tcPr>
          <w:p>
            <w:pPr>
              <w:pStyle w:val="TableContents"/>
              <w:bidi w:val="0"/>
              <w:spacing w:before="0" w:after="283"/>
              <w:jc w:val="left"/>
              <w:rPr/>
            </w:pPr>
            <w:r>
              <w:rPr/>
              <w:t> </w:t>
            </w:r>
          </w:p>
        </w:tc>
      </w:tr>
      <w:tr>
        <w:trPr/>
        <w:tc>
          <w:tcPr>
            <w:tcW w:w="4676"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3" w:type="dxa"/>
            <w:tcBorders/>
            <w:vAlign w:val="bottom"/>
          </w:tcPr>
          <w:p>
            <w:pPr>
              <w:pStyle w:val="TableContents"/>
              <w:bidi w:val="0"/>
              <w:spacing w:before="0" w:after="283"/>
              <w:jc w:val="left"/>
              <w:rPr/>
            </w:pPr>
            <w:r>
              <w:rPr/>
              <w:t> </w:t>
            </w:r>
          </w:p>
        </w:tc>
      </w:tr>
      <w:tr>
        <w:trPr/>
        <w:tc>
          <w:tcPr>
            <w:tcW w:w="46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Conversion of redeemable convertible preferred shares</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10,362,304</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21,517,976</w:t>
            </w:r>
          </w:p>
        </w:tc>
        <w:tc>
          <w:tcPr>
            <w:tcW w:w="63" w:type="dxa"/>
            <w:tcBorders/>
            <w:shd w:fill="CCEEFF" w:val="clear"/>
            <w:vAlign w:val="bottom"/>
          </w:tcPr>
          <w:p>
            <w:pPr>
              <w:pStyle w:val="TableContents"/>
              <w:bidi w:val="0"/>
              <w:spacing w:before="0" w:after="283"/>
              <w:jc w:val="left"/>
              <w:rPr/>
            </w:pPr>
            <w:r>
              <w:rPr/>
              <w:t> </w:t>
            </w:r>
          </w:p>
        </w:tc>
      </w:tr>
      <w:tr>
        <w:trPr/>
        <w:tc>
          <w:tcPr>
            <w:tcW w:w="4676" w:type="dxa"/>
            <w:tcBorders/>
          </w:tcPr>
          <w:p>
            <w:pPr>
              <w:pStyle w:val="TableContents"/>
              <w:bidi w:val="0"/>
              <w:spacing w:before="0" w:after="0"/>
              <w:jc w:val="left"/>
              <w:rPr>
                <w:rFonts w:ascii="Times New Roman" w:hAnsi="Times New Roman"/>
                <w:sz w:val="20"/>
              </w:rPr>
            </w:pPr>
            <w:r>
              <w:rPr>
                <w:rFonts w:ascii="Times New Roman" w:hAnsi="Times New Roman"/>
                <w:sz w:val="20"/>
              </w:rPr>
              <w:t>Share options issued and outstanding</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1,717,256</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2,642,930</w:t>
            </w:r>
          </w:p>
        </w:tc>
        <w:tc>
          <w:tcPr>
            <w:tcW w:w="63" w:type="dxa"/>
            <w:tcBorders/>
            <w:vAlign w:val="bottom"/>
          </w:tcPr>
          <w:p>
            <w:pPr>
              <w:pStyle w:val="TableContents"/>
              <w:bidi w:val="0"/>
              <w:spacing w:before="0" w:after="283"/>
              <w:jc w:val="left"/>
              <w:rPr/>
            </w:pPr>
            <w:r>
              <w:rPr/>
              <w:t> </w:t>
            </w:r>
          </w:p>
        </w:tc>
      </w:tr>
      <w:tr>
        <w:trPr/>
        <w:tc>
          <w:tcPr>
            <w:tcW w:w="46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options available for future grant</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522,916</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448,980</w:t>
            </w:r>
          </w:p>
        </w:tc>
        <w:tc>
          <w:tcPr>
            <w:tcW w:w="63" w:type="dxa"/>
            <w:tcBorders/>
            <w:shd w:fill="CCEEFF" w:val="clear"/>
            <w:vAlign w:val="bottom"/>
          </w:tcPr>
          <w:p>
            <w:pPr>
              <w:pStyle w:val="TableContents"/>
              <w:bidi w:val="0"/>
              <w:spacing w:before="0" w:after="283"/>
              <w:jc w:val="left"/>
              <w:rPr/>
            </w:pPr>
            <w:r>
              <w:rPr/>
              <w:t> </w:t>
            </w:r>
          </w:p>
        </w:tc>
      </w:tr>
      <w:tr>
        <w:trPr/>
        <w:tc>
          <w:tcPr>
            <w:tcW w:w="4676"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676" w:type="dxa"/>
            <w:tcBorders/>
          </w:tcPr>
          <w:p>
            <w:pPr>
              <w:pStyle w:val="TableContents"/>
              <w:bidi w:val="0"/>
              <w:spacing w:before="0" w:after="0"/>
              <w:jc w:val="left"/>
              <w:rPr>
                <w:rFonts w:ascii="Times New Roman" w:hAnsi="Times New Roman"/>
                <w:sz w:val="20"/>
              </w:rPr>
            </w:pPr>
            <w:r>
              <w:rPr>
                <w:rFonts w:ascii="Times New Roman" w:hAnsi="Times New Roman"/>
                <w:sz w:val="20"/>
              </w:rPr>
              <w:t>Total ordinary shares reserved</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12,602,476</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24,609,886</w:t>
            </w:r>
          </w:p>
        </w:tc>
        <w:tc>
          <w:tcPr>
            <w:tcW w:w="63" w:type="dxa"/>
            <w:tcBorders/>
            <w:vAlign w:val="bottom"/>
          </w:tcPr>
          <w:p>
            <w:pPr>
              <w:pStyle w:val="TableContents"/>
              <w:bidi w:val="0"/>
              <w:spacing w:before="0" w:after="283"/>
              <w:jc w:val="left"/>
              <w:rPr/>
            </w:pPr>
            <w:r>
              <w:rPr/>
              <w:t> </w:t>
            </w:r>
          </w:p>
        </w:tc>
      </w:tr>
      <w:tr>
        <w:trPr/>
        <w:tc>
          <w:tcPr>
            <w:tcW w:w="4676"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10.</w:t>
            </w:r>
          </w:p>
        </w:tc>
        <w:tc>
          <w:tcPr>
            <w:tcW w:w="9797"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Share-based Compensation </w:t>
            </w:r>
          </w:p>
        </w:tc>
      </w:tr>
    </w:tbl>
    <w:p>
      <w:pPr>
        <w:pStyle w:val="TextBody"/>
        <w:bidi w:val="0"/>
        <w:spacing w:before="120" w:after="0"/>
        <w:jc w:val="both"/>
        <w:rPr>
          <w:rFonts w:ascii="Times New Roman" w:hAnsi="Times New Roman"/>
          <w:sz w:val="20"/>
        </w:rPr>
      </w:pPr>
      <w:r>
        <w:rPr>
          <w:rFonts w:ascii="Times New Roman" w:hAnsi="Times New Roman"/>
          <w:sz w:val="20"/>
        </w:rPr>
        <w:t xml:space="preserve">In 2023, the Company adopted the 2023 Equity Incentive Plan (“2023 Plan”), under which the Board of Directors can issue options to purchase shares of common stock. As of December 31, 2025, there were 3,293,424 shares of common stock authorized and reserved for issuance under the 2023 Plan. 448,980 shares of common stock remain available for future grants as of December 31, 2025. </w:t>
      </w:r>
    </w:p>
    <w:p>
      <w:pPr>
        <w:pStyle w:val="TextBody"/>
        <w:bidi w:val="0"/>
        <w:spacing w:before="120" w:after="0"/>
        <w:jc w:val="both"/>
        <w:rPr>
          <w:rFonts w:ascii="Times New Roman" w:hAnsi="Times New Roman"/>
          <w:sz w:val="20"/>
        </w:rPr>
      </w:pPr>
      <w:r>
        <w:rPr>
          <w:rFonts w:ascii="Times New Roman" w:hAnsi="Times New Roman"/>
          <w:sz w:val="20"/>
        </w:rPr>
        <w:t xml:space="preserve">Awards granted under the 2023 Plan may be either incentive stock options (“ISOs”), nonstatutory stock options (“NSOs”), restricted stock awards (“RSAs”), restricted stock units (“RSUs”) or stock appreciation rights (“SARs”). ISOs may be granted only to Company employees (including officers and directors who are also employees). NSOs may be granted to Company employees and consultants. The Board of Directors of the Company has the authority to approve the option recipient, the number of shares, the term, and the exercise price. The exercise price of ISOs and NSOs shall not be less than 100% of the estimated fair value of the shares on the date of grant. The exercise price of ISOs shall be no less than 110% of the estimated fair value of the shares on the date of grant to any employee who, at the time of grant, owns shares representing more than 10% (“10% shareholder”) of the voting power of all classes of shares of the Company. The options usually have a term of 10 years (or no more than five years if granted to a 10% shareholder). Vesting conditions determined by the plan administrator may apply to stock options and may include continued service, performance and/or other conditions. Generally, options and restricted stock awards vest over a four-year period. </w:t>
      </w:r>
    </w:p>
    <w:p>
      <w:pPr>
        <w:pStyle w:val="TextBody"/>
        <w:bidi w:val="0"/>
        <w:spacing w:before="120" w:after="0"/>
        <w:jc w:val="both"/>
        <w:rPr>
          <w:rFonts w:ascii="Times New Roman" w:hAnsi="Times New Roman"/>
          <w:sz w:val="20"/>
        </w:rPr>
      </w:pPr>
      <w:r>
        <w:rPr>
          <w:rFonts w:ascii="Times New Roman" w:hAnsi="Times New Roman"/>
          <w:sz w:val="20"/>
        </w:rPr>
        <w:t xml:space="preserve">The Company had not granted any RSUs and SARs as of December 31, 2024 and 2025. </w:t>
      </w:r>
    </w:p>
    <w:p>
      <w:pPr>
        <w:pStyle w:val="TextBody"/>
        <w:bidi w:val="0"/>
        <w:spacing w:before="120" w:after="0"/>
        <w:jc w:val="left"/>
        <w:rPr>
          <w:rFonts w:ascii="Times New Roman" w:hAnsi="Times New Roman"/>
          <w:i/>
          <w:sz w:val="20"/>
        </w:rPr>
      </w:pPr>
      <w:r>
        <w:rPr>
          <w:rFonts w:ascii="Times New Roman" w:hAnsi="Times New Roman"/>
          <w:i/>
          <w:sz w:val="20"/>
        </w:rPr>
        <w:t xml:space="preserve">Options </w:t>
      </w:r>
    </w:p>
    <w:p>
      <w:pPr>
        <w:pStyle w:val="TextBody"/>
        <w:bidi w:val="0"/>
        <w:spacing w:before="120" w:after="0"/>
        <w:jc w:val="both"/>
        <w:rPr>
          <w:rFonts w:ascii="Times New Roman" w:hAnsi="Times New Roman"/>
          <w:sz w:val="20"/>
        </w:rPr>
      </w:pPr>
      <w:r>
        <w:rPr>
          <w:rFonts w:ascii="Times New Roman" w:hAnsi="Times New Roman"/>
          <w:sz w:val="20"/>
        </w:rPr>
        <w:t xml:space="preserve">A summary of stock option activity is set forth below: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2413"/>
        <w:gridCol w:w="269"/>
        <w:gridCol w:w="68"/>
        <w:gridCol w:w="1071"/>
        <w:gridCol w:w="155"/>
        <w:gridCol w:w="269"/>
        <w:gridCol w:w="261"/>
        <w:gridCol w:w="817"/>
        <w:gridCol w:w="60"/>
        <w:gridCol w:w="269"/>
        <w:gridCol w:w="182"/>
        <w:gridCol w:w="1375"/>
        <w:gridCol w:w="60"/>
        <w:gridCol w:w="269"/>
        <w:gridCol w:w="213"/>
        <w:gridCol w:w="857"/>
        <w:gridCol w:w="66"/>
      </w:tblGrid>
      <w:tr>
        <w:trPr/>
        <w:tc>
          <w:tcPr>
            <w:tcW w:w="2413"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413"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64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Outstanding Awards</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55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r>
      <w:tr>
        <w:trPr/>
        <w:tc>
          <w:tcPr>
            <w:tcW w:w="2413"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0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5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 (in years)</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w:t>
              <w:br/>
              <w:t>Value (in</w:t>
              <w:br/>
              <w:t>thousands)</w:t>
            </w:r>
          </w:p>
        </w:tc>
        <w:tc>
          <w:tcPr>
            <w:tcW w:w="66" w:type="dxa"/>
            <w:tcBorders/>
            <w:vAlign w:val="bottom"/>
          </w:tcPr>
          <w:p>
            <w:pPr>
              <w:pStyle w:val="TableContents"/>
              <w:bidi w:val="0"/>
              <w:spacing w:before="0" w:after="283"/>
              <w:jc w:val="left"/>
              <w:rPr/>
            </w:pPr>
            <w:r>
              <w:rPr/>
              <w:t> </w:t>
            </w:r>
          </w:p>
        </w:tc>
      </w:tr>
      <w:tr>
        <w:trPr/>
        <w:tc>
          <w:tcPr>
            <w:tcW w:w="241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Outstanding, January 1, 2024</w:t>
            </w:r>
          </w:p>
        </w:tc>
        <w:tc>
          <w:tcPr>
            <w:tcW w:w="26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254,565</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1.58</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9.64</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331</w:t>
            </w:r>
          </w:p>
        </w:tc>
        <w:tc>
          <w:tcPr>
            <w:tcW w:w="66" w:type="dxa"/>
            <w:tcBorders/>
            <w:shd w:fill="CCEEFF" w:val="clear"/>
            <w:vAlign w:val="bottom"/>
          </w:tcPr>
          <w:p>
            <w:pPr>
              <w:pStyle w:val="TableContents"/>
              <w:bidi w:val="0"/>
              <w:spacing w:before="0" w:after="283"/>
              <w:jc w:val="left"/>
              <w:rPr/>
            </w:pPr>
            <w:r>
              <w:rPr/>
              <w:t> </w:t>
            </w:r>
          </w:p>
        </w:tc>
      </w:tr>
      <w:tr>
        <w:trPr/>
        <w:tc>
          <w:tcPr>
            <w:tcW w:w="2413"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6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1,582,950</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c>
          <w:tcPr>
            <w:tcW w:w="817" w:type="dxa"/>
            <w:tcBorders/>
            <w:vAlign w:val="bottom"/>
          </w:tcPr>
          <w:p>
            <w:pPr>
              <w:pStyle w:val="TableContents"/>
              <w:bidi w:val="0"/>
              <w:spacing w:before="0" w:after="283"/>
              <w:jc w:val="right"/>
              <w:rPr/>
            </w:pPr>
            <w:r>
              <w:rPr/>
              <w:t>3.50</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13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4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26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(120,259</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2.58</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13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261</w:t>
            </w:r>
          </w:p>
        </w:tc>
        <w:tc>
          <w:tcPr>
            <w:tcW w:w="66" w:type="dxa"/>
            <w:tcBorders/>
            <w:shd w:fill="CCEEFF" w:val="clear"/>
            <w:vAlign w:val="bottom"/>
          </w:tcPr>
          <w:p>
            <w:pPr>
              <w:pStyle w:val="TableContents"/>
              <w:bidi w:val="0"/>
              <w:spacing w:before="0" w:after="283"/>
              <w:jc w:val="left"/>
              <w:rPr/>
            </w:pPr>
            <w:r>
              <w:rPr/>
              <w:t> </w:t>
            </w:r>
          </w:p>
        </w:tc>
      </w:tr>
      <w:tr>
        <w:trPr/>
        <w:tc>
          <w:tcPr>
            <w:tcW w:w="241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0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sz w:val="4"/>
                <w:szCs w:val="4"/>
              </w:rPr>
            </w:pPr>
            <w:r>
              <w:rPr>
                <w:sz w:val="4"/>
                <w:szCs w:val="4"/>
              </w:rPr>
            </w:r>
          </w:p>
        </w:tc>
        <w:tc>
          <w:tcPr>
            <w:tcW w:w="8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13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413" w:type="dxa"/>
            <w:tcBorders/>
          </w:tcPr>
          <w:p>
            <w:pPr>
              <w:pStyle w:val="TableContents"/>
              <w:bidi w:val="0"/>
              <w:spacing w:before="0" w:after="0"/>
              <w:jc w:val="left"/>
              <w:rPr>
                <w:rFonts w:ascii="Times New Roman" w:hAnsi="Times New Roman"/>
                <w:b/>
                <w:sz w:val="20"/>
              </w:rPr>
            </w:pPr>
            <w:r>
              <w:rPr>
                <w:rFonts w:ascii="Times New Roman" w:hAnsi="Times New Roman"/>
                <w:b/>
                <w:sz w:val="20"/>
              </w:rPr>
              <w:t>Outstanding, January 1, 2025</w:t>
            </w:r>
          </w:p>
        </w:tc>
        <w:tc>
          <w:tcPr>
            <w:tcW w:w="26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1,717,256</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c>
          <w:tcPr>
            <w:tcW w:w="817" w:type="dxa"/>
            <w:tcBorders/>
            <w:vAlign w:val="bottom"/>
          </w:tcPr>
          <w:p>
            <w:pPr>
              <w:pStyle w:val="TableContents"/>
              <w:bidi w:val="0"/>
              <w:spacing w:before="0" w:after="283"/>
              <w:jc w:val="right"/>
              <w:rPr/>
            </w:pPr>
            <w:r>
              <w:rPr/>
              <w:t>3.28</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9.35</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w:t>
            </w:r>
          </w:p>
        </w:tc>
        <w:tc>
          <w:tcPr>
            <w:tcW w:w="857" w:type="dxa"/>
            <w:tcBorders/>
            <w:vAlign w:val="bottom"/>
          </w:tcPr>
          <w:p>
            <w:pPr>
              <w:pStyle w:val="TableContents"/>
              <w:bidi w:val="0"/>
              <w:spacing w:before="0" w:after="283"/>
              <w:jc w:val="right"/>
              <w:rPr/>
            </w:pPr>
            <w:r>
              <w:rPr/>
              <w:t>4,662</w:t>
            </w:r>
          </w:p>
        </w:tc>
        <w:tc>
          <w:tcPr>
            <w:tcW w:w="66" w:type="dxa"/>
            <w:tcBorders/>
            <w:vAlign w:val="bottom"/>
          </w:tcPr>
          <w:p>
            <w:pPr>
              <w:pStyle w:val="TableContents"/>
              <w:bidi w:val="0"/>
              <w:spacing w:before="0" w:after="283"/>
              <w:jc w:val="left"/>
              <w:rPr/>
            </w:pPr>
            <w:r>
              <w:rPr/>
              <w:t> </w:t>
            </w:r>
          </w:p>
        </w:tc>
      </w:tr>
      <w:tr>
        <w:trPr/>
        <w:tc>
          <w:tcPr>
            <w:tcW w:w="24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6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1,010,528</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4.92</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13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857"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413" w:type="dxa"/>
            <w:tcBorders/>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26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(81,152</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c>
          <w:tcPr>
            <w:tcW w:w="817" w:type="dxa"/>
            <w:tcBorders/>
            <w:vAlign w:val="bottom"/>
          </w:tcPr>
          <w:p>
            <w:pPr>
              <w:pStyle w:val="TableContents"/>
              <w:bidi w:val="0"/>
              <w:spacing w:before="0" w:after="283"/>
              <w:jc w:val="right"/>
              <w:rPr/>
            </w:pPr>
            <w:r>
              <w:rPr/>
              <w:t>2.40</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13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w:t>
            </w:r>
          </w:p>
        </w:tc>
        <w:tc>
          <w:tcPr>
            <w:tcW w:w="857" w:type="dxa"/>
            <w:tcBorders/>
            <w:vAlign w:val="bottom"/>
          </w:tcPr>
          <w:p>
            <w:pPr>
              <w:pStyle w:val="TableContents"/>
              <w:bidi w:val="0"/>
              <w:spacing w:before="0" w:after="283"/>
              <w:jc w:val="right"/>
              <w:rPr/>
            </w:pPr>
            <w:r>
              <w:rPr/>
              <w:t>231</w:t>
            </w:r>
          </w:p>
        </w:tc>
        <w:tc>
          <w:tcPr>
            <w:tcW w:w="66" w:type="dxa"/>
            <w:tcBorders/>
            <w:vAlign w:val="bottom"/>
          </w:tcPr>
          <w:p>
            <w:pPr>
              <w:pStyle w:val="TableContents"/>
              <w:bidi w:val="0"/>
              <w:spacing w:before="0" w:after="283"/>
              <w:jc w:val="left"/>
              <w:rPr/>
            </w:pPr>
            <w:r>
              <w:rPr/>
              <w:t> </w:t>
            </w:r>
          </w:p>
        </w:tc>
      </w:tr>
      <w:tr>
        <w:trPr/>
        <w:tc>
          <w:tcPr>
            <w:tcW w:w="24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 or expired</w:t>
            </w:r>
          </w:p>
        </w:tc>
        <w:tc>
          <w:tcPr>
            <w:tcW w:w="26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(3,702</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3.92</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13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857"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41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0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sz w:val="4"/>
                <w:szCs w:val="4"/>
              </w:rPr>
            </w:pPr>
            <w:r>
              <w:rPr>
                <w:sz w:val="4"/>
                <w:szCs w:val="4"/>
              </w:rPr>
            </w:r>
          </w:p>
        </w:tc>
        <w:tc>
          <w:tcPr>
            <w:tcW w:w="8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13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413" w:type="dxa"/>
            <w:tcBorders/>
          </w:tcPr>
          <w:p>
            <w:pPr>
              <w:pStyle w:val="TableContents"/>
              <w:bidi w:val="0"/>
              <w:spacing w:before="0" w:after="0"/>
              <w:jc w:val="left"/>
              <w:rPr>
                <w:rFonts w:ascii="Times New Roman" w:hAnsi="Times New Roman"/>
                <w:b/>
                <w:sz w:val="20"/>
              </w:rPr>
            </w:pPr>
            <w:r>
              <w:rPr>
                <w:rFonts w:ascii="Times New Roman" w:hAnsi="Times New Roman"/>
                <w:b/>
                <w:sz w:val="20"/>
              </w:rPr>
              <w:t>Outstanding, December 31, 2025</w:t>
            </w:r>
          </w:p>
        </w:tc>
        <w:tc>
          <w:tcPr>
            <w:tcW w:w="26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2,642,930</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c>
          <w:tcPr>
            <w:tcW w:w="817" w:type="dxa"/>
            <w:tcBorders/>
            <w:vAlign w:val="bottom"/>
          </w:tcPr>
          <w:p>
            <w:pPr>
              <w:pStyle w:val="TableContents"/>
              <w:bidi w:val="0"/>
              <w:spacing w:before="0" w:after="283"/>
              <w:jc w:val="right"/>
              <w:rPr/>
            </w:pPr>
            <w:r>
              <w:rPr/>
              <w:t>3.93</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8.76</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w:t>
            </w:r>
          </w:p>
        </w:tc>
        <w:tc>
          <w:tcPr>
            <w:tcW w:w="857" w:type="dxa"/>
            <w:tcBorders/>
            <w:vAlign w:val="bottom"/>
          </w:tcPr>
          <w:p>
            <w:pPr>
              <w:pStyle w:val="TableContents"/>
              <w:bidi w:val="0"/>
              <w:spacing w:before="0" w:after="283"/>
              <w:jc w:val="right"/>
              <w:rPr/>
            </w:pPr>
            <w:r>
              <w:rPr/>
              <w:t>2,621</w:t>
            </w:r>
          </w:p>
        </w:tc>
        <w:tc>
          <w:tcPr>
            <w:tcW w:w="66" w:type="dxa"/>
            <w:tcBorders/>
            <w:vAlign w:val="bottom"/>
          </w:tcPr>
          <w:p>
            <w:pPr>
              <w:pStyle w:val="TableContents"/>
              <w:bidi w:val="0"/>
              <w:spacing w:before="0" w:after="283"/>
              <w:jc w:val="left"/>
              <w:rPr/>
            </w:pPr>
            <w:r>
              <w:rPr/>
              <w:t> </w:t>
            </w:r>
          </w:p>
        </w:tc>
      </w:tr>
      <w:tr>
        <w:trPr/>
        <w:tc>
          <w:tcPr>
            <w:tcW w:w="241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107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sz w:val="4"/>
                <w:szCs w:val="4"/>
              </w:rPr>
            </w:pPr>
            <w:r>
              <w:rPr>
                <w:sz w:val="4"/>
                <w:szCs w:val="4"/>
              </w:rPr>
            </w:r>
          </w:p>
        </w:tc>
        <w:tc>
          <w:tcPr>
            <w:tcW w:w="8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13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4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exercisable December 31, 2025</w:t>
            </w:r>
          </w:p>
        </w:tc>
        <w:tc>
          <w:tcPr>
            <w:tcW w:w="26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643,805</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3.34</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8.35</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1,035</w:t>
            </w:r>
          </w:p>
        </w:tc>
        <w:tc>
          <w:tcPr>
            <w:tcW w:w="66" w:type="dxa"/>
            <w:tcBorders/>
            <w:shd w:fill="CCEEFF" w:val="clear"/>
            <w:vAlign w:val="bottom"/>
          </w:tcPr>
          <w:p>
            <w:pPr>
              <w:pStyle w:val="TableContents"/>
              <w:bidi w:val="0"/>
              <w:spacing w:before="0" w:after="283"/>
              <w:jc w:val="left"/>
              <w:rPr/>
            </w:pPr>
            <w:r>
              <w:rPr/>
              <w:t> </w:t>
            </w:r>
          </w:p>
        </w:tc>
      </w:tr>
      <w:tr>
        <w:trPr/>
        <w:tc>
          <w:tcPr>
            <w:tcW w:w="2413" w:type="dxa"/>
            <w:tcBorders/>
          </w:tcPr>
          <w:p>
            <w:pPr>
              <w:pStyle w:val="TableContents"/>
              <w:bidi w:val="0"/>
              <w:spacing w:before="0" w:after="0"/>
              <w:jc w:val="left"/>
              <w:rPr>
                <w:rFonts w:ascii="Times New Roman" w:hAnsi="Times New Roman"/>
                <w:sz w:val="20"/>
              </w:rPr>
            </w:pPr>
            <w:r>
              <w:rPr>
                <w:rFonts w:ascii="Times New Roman" w:hAnsi="Times New Roman"/>
                <w:sz w:val="20"/>
              </w:rPr>
              <w:t>Vested and expected to vest, December 31, 2025</w:t>
            </w:r>
          </w:p>
        </w:tc>
        <w:tc>
          <w:tcPr>
            <w:tcW w:w="26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2,642,930</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c>
          <w:tcPr>
            <w:tcW w:w="817" w:type="dxa"/>
            <w:tcBorders/>
            <w:vAlign w:val="bottom"/>
          </w:tcPr>
          <w:p>
            <w:pPr>
              <w:pStyle w:val="TableContents"/>
              <w:bidi w:val="0"/>
              <w:spacing w:before="0" w:after="283"/>
              <w:jc w:val="right"/>
              <w:rPr/>
            </w:pPr>
            <w:r>
              <w:rPr/>
              <w:t>3.93</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8.76</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w:t>
            </w:r>
          </w:p>
        </w:tc>
        <w:tc>
          <w:tcPr>
            <w:tcW w:w="857" w:type="dxa"/>
            <w:tcBorders/>
            <w:vAlign w:val="bottom"/>
          </w:tcPr>
          <w:p>
            <w:pPr>
              <w:pStyle w:val="TableContents"/>
              <w:bidi w:val="0"/>
              <w:spacing w:before="0" w:after="283"/>
              <w:jc w:val="right"/>
              <w:rPr/>
            </w:pPr>
            <w:r>
              <w:rPr/>
              <w:t>2,621</w:t>
            </w:r>
          </w:p>
        </w:tc>
        <w:tc>
          <w:tcPr>
            <w:tcW w:w="66" w:type="dxa"/>
            <w:tcBorders/>
            <w:vAlign w:val="bottom"/>
          </w:tcPr>
          <w:p>
            <w:pPr>
              <w:pStyle w:val="TableContents"/>
              <w:bidi w:val="0"/>
              <w:spacing w:before="0" w:after="283"/>
              <w:jc w:val="left"/>
              <w:rPr/>
            </w:pPr>
            <w:r>
              <w:rPr/>
              <w:t>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aggregate intrinsic value is calculated as the difference between the exercise price of the underlying stock options and the estimated fair value of the Company’s common stock for those stock options that had exercise prices lower than the estimated fair value of the Company’s common stock as of December 31, 2024 and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total fair value of options that vested during the years ended December 31, 2024 and 2025 was $0.2 million and $1.6 million, respectively. The weighted-average grant date fair value of options granted in the years ended December 31, 2024 and 2025 was $2.61 and $3.27 per share, respectively. </w:t>
      </w:r>
    </w:p>
    <w:p>
      <w:pPr>
        <w:pStyle w:val="TextBody"/>
        <w:bidi w:val="0"/>
        <w:spacing w:before="120" w:after="0"/>
        <w:jc w:val="both"/>
        <w:rPr>
          <w:rFonts w:ascii="Times New Roman" w:hAnsi="Times New Roman"/>
          <w:sz w:val="20"/>
        </w:rPr>
      </w:pPr>
      <w:r>
        <w:rPr>
          <w:rFonts w:ascii="Times New Roman" w:hAnsi="Times New Roman"/>
          <w:sz w:val="20"/>
        </w:rPr>
        <w:t xml:space="preserve">As of December 31, 2025, there was $5.4 million of unrecognized stock-based compensation expense related to unvested stock options, which is expected to be recognized over a weighted-average period of 2.8 years. </w:t>
      </w:r>
    </w:p>
    <w:p>
      <w:pPr>
        <w:pStyle w:val="TextBody"/>
        <w:bidi w:val="0"/>
        <w:spacing w:before="120" w:after="0"/>
        <w:jc w:val="left"/>
        <w:rPr>
          <w:rFonts w:ascii="Times New Roman" w:hAnsi="Times New Roman"/>
          <w:i/>
          <w:sz w:val="20"/>
        </w:rPr>
      </w:pPr>
      <w:r>
        <w:rPr>
          <w:rFonts w:ascii="Times New Roman" w:hAnsi="Times New Roman"/>
          <w:i/>
          <w:sz w:val="20"/>
        </w:rPr>
        <w:t xml:space="preserve">RSAs </w:t>
      </w:r>
    </w:p>
    <w:p>
      <w:pPr>
        <w:pStyle w:val="TextBody"/>
        <w:bidi w:val="0"/>
        <w:spacing w:before="120" w:after="0"/>
        <w:jc w:val="both"/>
        <w:rPr>
          <w:rFonts w:ascii="Times New Roman" w:hAnsi="Times New Roman"/>
          <w:sz w:val="20"/>
        </w:rPr>
      </w:pPr>
      <w:r>
        <w:rPr>
          <w:rFonts w:ascii="Times New Roman" w:hAnsi="Times New Roman"/>
          <w:sz w:val="20"/>
        </w:rPr>
        <w:t xml:space="preserve">In April 2023, the Company entered into restricted stock agreements with its management and employees, outside of the 2023 Plan, to grant 1,001,070 shares of restricted stock awards at a purchase price of $0.0009 per share, with an estimated grant date fair value of $2.69 per share. </w:t>
      </w:r>
    </w:p>
    <w:p>
      <w:pPr>
        <w:pStyle w:val="TextBody"/>
        <w:bidi w:val="0"/>
        <w:spacing w:before="120" w:after="0"/>
        <w:jc w:val="both"/>
        <w:rPr>
          <w:rFonts w:ascii="Times New Roman" w:hAnsi="Times New Roman"/>
          <w:sz w:val="20"/>
        </w:rPr>
      </w:pPr>
      <w:r>
        <w:rPr>
          <w:rFonts w:ascii="Times New Roman" w:hAnsi="Times New Roman"/>
          <w:sz w:val="20"/>
        </w:rPr>
        <w:t xml:space="preserve">The restricted stock awards vest over a four-year period starting on the grant date and have a one-year cliff vesting period. In the event the employees’ services are terminated, the Company reserves the right to repurchase unvested shares at the original purchase price, adjusted for any stock dividends, stock splits, reverse stock splits, or recapitalizations of the Company’s common stock occurring after the effective date of the applicable restricted stock agreement. </w:t>
      </w:r>
    </w:p>
    <w:p>
      <w:pPr>
        <w:pStyle w:val="TextBody"/>
        <w:bidi w:val="0"/>
        <w:spacing w:before="120" w:after="0"/>
        <w:jc w:val="both"/>
        <w:rPr>
          <w:rFonts w:ascii="Times New Roman" w:hAnsi="Times New Roman"/>
          <w:sz w:val="20"/>
        </w:rPr>
      </w:pPr>
      <w:r>
        <w:rPr>
          <w:rFonts w:ascii="Times New Roman" w:hAnsi="Times New Roman"/>
          <w:sz w:val="20"/>
        </w:rPr>
        <w:t xml:space="preserve">The restricted stock awards were accounted for as a compensatory arrangement under </w:t>
      </w:r>
      <w:r>
        <w:rPr>
          <w:rFonts w:ascii="Times New Roman" w:hAnsi="Times New Roman"/>
          <w:i/>
          <w:sz w:val="20"/>
        </w:rPr>
        <w:t>ASC Topic 718, Compensation-Stock Compensation</w:t>
      </w:r>
      <w:r>
        <w:rPr>
          <w:rFonts w:ascii="Times New Roman" w:hAnsi="Times New Roman"/>
          <w:sz w:val="20"/>
        </w:rPr>
        <w:t xml:space="preserve">. Shares purchased pursuant to these restricted stock awards participate in dividends and voting, are legally outstanding, and are presented as outstanding shares. </w:t>
      </w:r>
    </w:p>
    <w:p>
      <w:pPr>
        <w:pStyle w:val="TextBody"/>
        <w:bidi w:val="0"/>
        <w:spacing w:before="120" w:after="0"/>
        <w:jc w:val="both"/>
        <w:rPr>
          <w:rFonts w:ascii="Times New Roman" w:hAnsi="Times New Roman"/>
          <w:sz w:val="20"/>
        </w:rPr>
      </w:pPr>
      <w:r>
        <w:rPr>
          <w:rFonts w:ascii="Times New Roman" w:hAnsi="Times New Roman"/>
          <w:sz w:val="20"/>
        </w:rPr>
        <w:t xml:space="preserve">The stock-based compensation expense related to the restricted stock awards was $0.7 million for the year ended December 31, 2024, of which $0.2 million was recorded in research and development and $0.5 million in general and administrative expenses on the consolidated statements of operations and comprehensive loss. The stock-based compensation expense related to the restricted stock awards was $0.7 million for the year ended December 31, 2025, of which $0.2 million was recorded in research and development and $0.5 million in general and administrative expenses on the consolidated statements of operations and comprehensive loss. Fair value of shares vested during the years ended December 31, 2024 and 2025 was $1.1 million and $0.7 million, respectively. </w:t>
      </w:r>
    </w:p>
    <w:p>
      <w:pPr>
        <w:pStyle w:val="TextBody"/>
        <w:bidi w:val="0"/>
        <w:spacing w:before="120" w:after="0"/>
        <w:jc w:val="both"/>
        <w:rPr>
          <w:rFonts w:ascii="Times New Roman" w:hAnsi="Times New Roman"/>
          <w:sz w:val="20"/>
        </w:rPr>
      </w:pPr>
      <w:r>
        <w:rPr>
          <w:rFonts w:ascii="Times New Roman" w:hAnsi="Times New Roman"/>
          <w:sz w:val="20"/>
        </w:rPr>
        <w:t xml:space="preserve">Activity with respect to restricted stock awards was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28"/>
        <w:gridCol w:w="463"/>
        <w:gridCol w:w="84"/>
        <w:gridCol w:w="1531"/>
        <w:gridCol w:w="155"/>
        <w:gridCol w:w="463"/>
        <w:gridCol w:w="285"/>
        <w:gridCol w:w="984"/>
        <w:gridCol w:w="62"/>
      </w:tblGrid>
      <w:tr>
        <w:trPr/>
        <w:tc>
          <w:tcPr>
            <w:tcW w:w="3728" w:type="dxa"/>
            <w:tcBorders/>
            <w:vAlign w:val="center"/>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3728"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6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Restricted</w:t>
              <w:br/>
              <w:t>Stock Awards</w:t>
            </w:r>
          </w:p>
        </w:tc>
        <w:tc>
          <w:tcPr>
            <w:tcW w:w="15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2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Grant Date</w:t>
              <w:br/>
              <w:t>Fair Value</w:t>
            </w:r>
          </w:p>
        </w:tc>
        <w:tc>
          <w:tcPr>
            <w:tcW w:w="62" w:type="dxa"/>
            <w:tcBorders/>
            <w:vAlign w:val="bottom"/>
          </w:tcPr>
          <w:p>
            <w:pPr>
              <w:pStyle w:val="TableContents"/>
              <w:bidi w:val="0"/>
              <w:spacing w:before="0" w:after="283"/>
              <w:jc w:val="left"/>
              <w:rPr/>
            </w:pPr>
            <w:r>
              <w:rPr/>
              <w:t> </w:t>
            </w:r>
          </w:p>
        </w:tc>
      </w:tr>
      <w:tr>
        <w:trPr/>
        <w:tc>
          <w:tcPr>
            <w:tcW w:w="37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at December 31, 2023</w:t>
            </w:r>
          </w:p>
        </w:tc>
        <w:tc>
          <w:tcPr>
            <w:tcW w:w="463"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1,001,070</w:t>
            </w:r>
          </w:p>
        </w:tc>
        <w:tc>
          <w:tcPr>
            <w:tcW w:w="155"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2.69</w:t>
            </w:r>
          </w:p>
        </w:tc>
        <w:tc>
          <w:tcPr>
            <w:tcW w:w="62" w:type="dxa"/>
            <w:tcBorders/>
            <w:shd w:fill="CCEEFF" w:val="clear"/>
            <w:vAlign w:val="bottom"/>
          </w:tcPr>
          <w:p>
            <w:pPr>
              <w:pStyle w:val="TableContents"/>
              <w:bidi w:val="0"/>
              <w:spacing w:before="0" w:after="283"/>
              <w:jc w:val="left"/>
              <w:rPr/>
            </w:pPr>
            <w:r>
              <w:rPr/>
              <w:t> </w:t>
            </w:r>
          </w:p>
        </w:tc>
      </w:tr>
      <w:tr>
        <w:trPr/>
        <w:tc>
          <w:tcPr>
            <w:tcW w:w="3728" w:type="dxa"/>
            <w:tcBorders/>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463"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right"/>
              <w:rPr/>
            </w:pPr>
            <w:r>
              <w:rPr/>
              <w:t>(417,120</w:t>
            </w:r>
          </w:p>
        </w:tc>
        <w:tc>
          <w:tcPr>
            <w:tcW w:w="15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w:t>
            </w:r>
          </w:p>
        </w:tc>
        <w:tc>
          <w:tcPr>
            <w:tcW w:w="984" w:type="dxa"/>
            <w:tcBorders/>
            <w:vAlign w:val="bottom"/>
          </w:tcPr>
          <w:p>
            <w:pPr>
              <w:pStyle w:val="TableContents"/>
              <w:bidi w:val="0"/>
              <w:spacing w:before="0" w:after="283"/>
              <w:jc w:val="right"/>
              <w:rPr/>
            </w:pPr>
            <w:r>
              <w:rPr/>
              <w:t>2.69</w:t>
            </w:r>
          </w:p>
        </w:tc>
        <w:tc>
          <w:tcPr>
            <w:tcW w:w="62" w:type="dxa"/>
            <w:tcBorders/>
            <w:vAlign w:val="bottom"/>
          </w:tcPr>
          <w:p>
            <w:pPr>
              <w:pStyle w:val="TableContents"/>
              <w:bidi w:val="0"/>
              <w:spacing w:before="0" w:after="283"/>
              <w:jc w:val="left"/>
              <w:rPr/>
            </w:pPr>
            <w:r>
              <w:rPr/>
              <w:t> </w:t>
            </w:r>
          </w:p>
        </w:tc>
      </w:tr>
      <w:tr>
        <w:trPr/>
        <w:tc>
          <w:tcPr>
            <w:tcW w:w="3728"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5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85"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37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at December 31, 2024</w:t>
            </w:r>
          </w:p>
        </w:tc>
        <w:tc>
          <w:tcPr>
            <w:tcW w:w="463"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583,950</w:t>
            </w:r>
          </w:p>
        </w:tc>
        <w:tc>
          <w:tcPr>
            <w:tcW w:w="155"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2.69</w:t>
            </w:r>
          </w:p>
        </w:tc>
        <w:tc>
          <w:tcPr>
            <w:tcW w:w="62" w:type="dxa"/>
            <w:tcBorders/>
            <w:shd w:fill="CCEEFF" w:val="clear"/>
            <w:vAlign w:val="bottom"/>
          </w:tcPr>
          <w:p>
            <w:pPr>
              <w:pStyle w:val="TableContents"/>
              <w:bidi w:val="0"/>
              <w:spacing w:before="0" w:after="283"/>
              <w:jc w:val="left"/>
              <w:rPr/>
            </w:pPr>
            <w:r>
              <w:rPr/>
              <w:t> </w:t>
            </w:r>
          </w:p>
        </w:tc>
      </w:tr>
      <w:tr>
        <w:trPr/>
        <w:tc>
          <w:tcPr>
            <w:tcW w:w="3728" w:type="dxa"/>
            <w:tcBorders/>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463"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right"/>
              <w:rPr/>
            </w:pPr>
            <w:r>
              <w:rPr/>
              <w:t>(250,272</w:t>
            </w:r>
          </w:p>
        </w:tc>
        <w:tc>
          <w:tcPr>
            <w:tcW w:w="15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w:t>
            </w:r>
          </w:p>
        </w:tc>
        <w:tc>
          <w:tcPr>
            <w:tcW w:w="984" w:type="dxa"/>
            <w:tcBorders/>
            <w:vAlign w:val="bottom"/>
          </w:tcPr>
          <w:p>
            <w:pPr>
              <w:pStyle w:val="TableContents"/>
              <w:bidi w:val="0"/>
              <w:spacing w:before="0" w:after="283"/>
              <w:jc w:val="right"/>
              <w:rPr/>
            </w:pPr>
            <w:r>
              <w:rPr/>
              <w:t>2.69</w:t>
            </w:r>
          </w:p>
        </w:tc>
        <w:tc>
          <w:tcPr>
            <w:tcW w:w="62" w:type="dxa"/>
            <w:tcBorders/>
            <w:vAlign w:val="bottom"/>
          </w:tcPr>
          <w:p>
            <w:pPr>
              <w:pStyle w:val="TableContents"/>
              <w:bidi w:val="0"/>
              <w:spacing w:before="0" w:after="283"/>
              <w:jc w:val="left"/>
              <w:rPr/>
            </w:pPr>
            <w:r>
              <w:rPr/>
              <w:t> </w:t>
            </w:r>
          </w:p>
        </w:tc>
      </w:tr>
      <w:tr>
        <w:trPr/>
        <w:tc>
          <w:tcPr>
            <w:tcW w:w="3728"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5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85"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37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at December 31, 2025</w:t>
            </w:r>
          </w:p>
        </w:tc>
        <w:tc>
          <w:tcPr>
            <w:tcW w:w="463"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333,678</w:t>
            </w:r>
          </w:p>
        </w:tc>
        <w:tc>
          <w:tcPr>
            <w:tcW w:w="155"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2.69</w:t>
            </w:r>
          </w:p>
        </w:tc>
        <w:tc>
          <w:tcPr>
            <w:tcW w:w="62" w:type="dxa"/>
            <w:tcBorders/>
            <w:shd w:fill="CCEEFF" w:val="clear"/>
            <w:vAlign w:val="bottom"/>
          </w:tcPr>
          <w:p>
            <w:pPr>
              <w:pStyle w:val="TableContents"/>
              <w:bidi w:val="0"/>
              <w:spacing w:before="0" w:after="283"/>
              <w:jc w:val="left"/>
              <w:rPr/>
            </w:pPr>
            <w:r>
              <w:rPr/>
              <w:t> </w:t>
            </w:r>
          </w:p>
        </w:tc>
      </w:tr>
      <w:tr>
        <w:trPr/>
        <w:tc>
          <w:tcPr>
            <w:tcW w:w="3728"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53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85"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both"/>
        <w:rPr>
          <w:rFonts w:ascii="Times New Roman" w:hAnsi="Times New Roman"/>
          <w:sz w:val="20"/>
        </w:rPr>
      </w:pPr>
      <w:r>
        <w:rPr>
          <w:rFonts w:ascii="Times New Roman" w:hAnsi="Times New Roman"/>
          <w:sz w:val="20"/>
        </w:rPr>
        <w:t xml:space="preserve">As of December 31, 2025, there was $0.9 million of unrecognized stock-based compensation expense related to unvested restricted stock awards, which is expected to be recognized over a weighted-average period of 1.3 years. No restricted stock awards were repurchased or cancelled during the years ended December 31, 2024 and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Stock-Based Compensation Expense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presents the classification of stock-based compensation expense related to awards granted to employees and non-employees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81"/>
        <w:gridCol w:w="375"/>
        <w:gridCol w:w="140"/>
        <w:gridCol w:w="560"/>
        <w:gridCol w:w="60"/>
        <w:gridCol w:w="375"/>
        <w:gridCol w:w="140"/>
        <w:gridCol w:w="560"/>
        <w:gridCol w:w="64"/>
      </w:tblGrid>
      <w:tr>
        <w:trPr/>
        <w:tc>
          <w:tcPr>
            <w:tcW w:w="5481"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481"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8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4" w:type="dxa"/>
            <w:tcBorders/>
            <w:vAlign w:val="bottom"/>
          </w:tcPr>
          <w:p>
            <w:pPr>
              <w:pStyle w:val="TableContents"/>
              <w:bidi w:val="0"/>
              <w:spacing w:before="0" w:after="283"/>
              <w:jc w:val="left"/>
              <w:rPr/>
            </w:pPr>
            <w:r>
              <w:rPr/>
              <w:t> </w:t>
            </w:r>
          </w:p>
        </w:tc>
      </w:tr>
      <w:tr>
        <w:trPr/>
        <w:tc>
          <w:tcPr>
            <w:tcW w:w="5481"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4" w:type="dxa"/>
            <w:tcBorders/>
            <w:vAlign w:val="bottom"/>
          </w:tcPr>
          <w:p>
            <w:pPr>
              <w:pStyle w:val="TableContents"/>
              <w:bidi w:val="0"/>
              <w:spacing w:before="0" w:after="283"/>
              <w:jc w:val="left"/>
              <w:rPr/>
            </w:pPr>
            <w:r>
              <w:rPr/>
              <w:t> </w:t>
            </w:r>
          </w:p>
        </w:tc>
      </w:tr>
      <w:tr>
        <w:trPr/>
        <w:tc>
          <w:tcPr>
            <w:tcW w:w="5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468</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798</w:t>
            </w:r>
          </w:p>
        </w:tc>
        <w:tc>
          <w:tcPr>
            <w:tcW w:w="64" w:type="dxa"/>
            <w:tcBorders/>
            <w:shd w:fill="CCEEFF" w:val="clear"/>
            <w:vAlign w:val="bottom"/>
          </w:tcPr>
          <w:p>
            <w:pPr>
              <w:pStyle w:val="TableContents"/>
              <w:bidi w:val="0"/>
              <w:spacing w:before="0" w:after="283"/>
              <w:jc w:val="left"/>
              <w:rPr/>
            </w:pPr>
            <w:r>
              <w:rPr/>
              <w:t> </w:t>
            </w:r>
          </w:p>
        </w:tc>
      </w:tr>
      <w:tr>
        <w:trPr/>
        <w:tc>
          <w:tcPr>
            <w:tcW w:w="5481"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920</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1,590</w:t>
            </w:r>
          </w:p>
        </w:tc>
        <w:tc>
          <w:tcPr>
            <w:tcW w:w="64" w:type="dxa"/>
            <w:tcBorders/>
            <w:vAlign w:val="bottom"/>
          </w:tcPr>
          <w:p>
            <w:pPr>
              <w:pStyle w:val="TableContents"/>
              <w:bidi w:val="0"/>
              <w:spacing w:before="0" w:after="283"/>
              <w:jc w:val="left"/>
              <w:rPr/>
            </w:pPr>
            <w:r>
              <w:rPr/>
              <w:t> </w:t>
            </w:r>
          </w:p>
        </w:tc>
      </w:tr>
      <w:tr>
        <w:trPr/>
        <w:tc>
          <w:tcPr>
            <w:tcW w:w="5481"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stock-based compensation expense</w:t>
            </w:r>
          </w:p>
        </w:tc>
        <w:tc>
          <w:tcPr>
            <w:tcW w:w="3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1,388</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2,388</w:t>
            </w:r>
          </w:p>
        </w:tc>
        <w:tc>
          <w:tcPr>
            <w:tcW w:w="64" w:type="dxa"/>
            <w:tcBorders/>
            <w:shd w:fill="CCEEFF" w:val="clear"/>
            <w:vAlign w:val="bottom"/>
          </w:tcPr>
          <w:p>
            <w:pPr>
              <w:pStyle w:val="TableContents"/>
              <w:bidi w:val="0"/>
              <w:spacing w:before="0" w:after="283"/>
              <w:jc w:val="left"/>
              <w:rPr/>
            </w:pPr>
            <w:r>
              <w:rPr/>
              <w:t> </w:t>
            </w:r>
          </w:p>
        </w:tc>
      </w:tr>
      <w:tr>
        <w:trPr/>
        <w:tc>
          <w:tcPr>
            <w:tcW w:w="5481"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Company estimated the fair value of stock options using the Black-Scholes option-pricing model. The fair value of stock options is being amortized on a straight-line basis over the requisite service period of the awards. The fair value of stock options granted was estimated using the following weighted-average assumptions: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46"/>
        <w:gridCol w:w="390"/>
        <w:gridCol w:w="60"/>
        <w:gridCol w:w="1492"/>
        <w:gridCol w:w="60"/>
        <w:gridCol w:w="390"/>
        <w:gridCol w:w="60"/>
        <w:gridCol w:w="1492"/>
        <w:gridCol w:w="65"/>
      </w:tblGrid>
      <w:tr>
        <w:trPr/>
        <w:tc>
          <w:tcPr>
            <w:tcW w:w="3746" w:type="dxa"/>
            <w:tcBorders/>
            <w:vAlign w:val="center"/>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746"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355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5" w:type="dxa"/>
            <w:tcBorders/>
            <w:vAlign w:val="bottom"/>
          </w:tcPr>
          <w:p>
            <w:pPr>
              <w:pStyle w:val="TableContents"/>
              <w:bidi w:val="0"/>
              <w:spacing w:before="0" w:after="283"/>
              <w:jc w:val="left"/>
              <w:rPr/>
            </w:pPr>
            <w:r>
              <w:rPr/>
              <w:t> </w:t>
            </w:r>
          </w:p>
        </w:tc>
      </w:tr>
      <w:tr>
        <w:trPr/>
        <w:tc>
          <w:tcPr>
            <w:tcW w:w="3746"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15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15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5" w:type="dxa"/>
            <w:tcBorders/>
            <w:vAlign w:val="bottom"/>
          </w:tcPr>
          <w:p>
            <w:pPr>
              <w:pStyle w:val="TableContents"/>
              <w:bidi w:val="0"/>
              <w:spacing w:before="0" w:after="283"/>
              <w:jc w:val="left"/>
              <w:rPr/>
            </w:pPr>
            <w:r>
              <w:rPr/>
              <w:t> </w:t>
            </w:r>
          </w:p>
        </w:tc>
      </w:tr>
      <w:tr>
        <w:trPr/>
        <w:tc>
          <w:tcPr>
            <w:tcW w:w="3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3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2" w:type="dxa"/>
            <w:tcBorders/>
            <w:shd w:fill="CCEEFF" w:val="clear"/>
            <w:vAlign w:val="bottom"/>
          </w:tcPr>
          <w:p>
            <w:pPr>
              <w:pStyle w:val="TableContents"/>
              <w:bidi w:val="0"/>
              <w:spacing w:before="0" w:after="283"/>
              <w:jc w:val="right"/>
              <w:rPr/>
            </w:pPr>
            <w:r>
              <w:rPr/>
              <w:t>70.22% - 71.43%</w:t>
            </w:r>
          </w:p>
        </w:tc>
        <w:tc>
          <w:tcPr>
            <w:tcW w:w="60"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2" w:type="dxa"/>
            <w:tcBorders/>
            <w:shd w:fill="CCEEFF" w:val="clear"/>
            <w:vAlign w:val="bottom"/>
          </w:tcPr>
          <w:p>
            <w:pPr>
              <w:pStyle w:val="TableContents"/>
              <w:bidi w:val="0"/>
              <w:spacing w:before="0" w:after="283"/>
              <w:jc w:val="right"/>
              <w:rPr/>
            </w:pPr>
            <w:r>
              <w:rPr/>
              <w:t>68.44% - 71.43%</w:t>
            </w:r>
          </w:p>
        </w:tc>
        <w:tc>
          <w:tcPr>
            <w:tcW w:w="65" w:type="dxa"/>
            <w:tcBorders/>
            <w:shd w:fill="CCEEFF" w:val="clear"/>
            <w:vAlign w:val="bottom"/>
          </w:tcPr>
          <w:p>
            <w:pPr>
              <w:pStyle w:val="TableContents"/>
              <w:bidi w:val="0"/>
              <w:spacing w:before="0" w:after="283"/>
              <w:jc w:val="left"/>
              <w:rPr/>
            </w:pPr>
            <w:r>
              <w:rPr/>
              <w:t> </w:t>
            </w:r>
          </w:p>
        </w:tc>
      </w:tr>
      <w:tr>
        <w:trPr/>
        <w:tc>
          <w:tcPr>
            <w:tcW w:w="3746"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3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0%</w:t>
            </w:r>
          </w:p>
        </w:tc>
        <w:tc>
          <w:tcPr>
            <w:tcW w:w="65" w:type="dxa"/>
            <w:tcBorders/>
            <w:vAlign w:val="bottom"/>
          </w:tcPr>
          <w:p>
            <w:pPr>
              <w:pStyle w:val="TableContents"/>
              <w:bidi w:val="0"/>
              <w:spacing w:before="0" w:after="283"/>
              <w:jc w:val="left"/>
              <w:rPr/>
            </w:pPr>
            <w:r>
              <w:rPr/>
              <w:t> </w:t>
            </w:r>
          </w:p>
        </w:tc>
      </w:tr>
      <w:tr>
        <w:trPr/>
        <w:tc>
          <w:tcPr>
            <w:tcW w:w="3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term (in years)</w:t>
            </w:r>
          </w:p>
        </w:tc>
        <w:tc>
          <w:tcPr>
            <w:tcW w:w="3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2" w:type="dxa"/>
            <w:tcBorders/>
            <w:shd w:fill="CCEEFF" w:val="clear"/>
            <w:vAlign w:val="bottom"/>
          </w:tcPr>
          <w:p>
            <w:pPr>
              <w:pStyle w:val="TableContents"/>
              <w:bidi w:val="0"/>
              <w:spacing w:before="0" w:after="283"/>
              <w:jc w:val="right"/>
              <w:rPr/>
            </w:pPr>
            <w:r>
              <w:rPr/>
              <w:t>5.89 - 6.08</w:t>
            </w:r>
          </w:p>
        </w:tc>
        <w:tc>
          <w:tcPr>
            <w:tcW w:w="60"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2" w:type="dxa"/>
            <w:tcBorders/>
            <w:shd w:fill="CCEEFF" w:val="clear"/>
            <w:vAlign w:val="bottom"/>
          </w:tcPr>
          <w:p>
            <w:pPr>
              <w:pStyle w:val="TableContents"/>
              <w:bidi w:val="0"/>
              <w:spacing w:before="0" w:after="283"/>
              <w:jc w:val="right"/>
              <w:rPr/>
            </w:pPr>
            <w:r>
              <w:rPr/>
              <w:t>5.86 - 6.08</w:t>
            </w:r>
          </w:p>
        </w:tc>
        <w:tc>
          <w:tcPr>
            <w:tcW w:w="65" w:type="dxa"/>
            <w:tcBorders/>
            <w:shd w:fill="CCEEFF" w:val="clear"/>
            <w:vAlign w:val="bottom"/>
          </w:tcPr>
          <w:p>
            <w:pPr>
              <w:pStyle w:val="TableContents"/>
              <w:bidi w:val="0"/>
              <w:spacing w:before="0" w:after="283"/>
              <w:jc w:val="left"/>
              <w:rPr/>
            </w:pPr>
            <w:r>
              <w:rPr/>
              <w:t> </w:t>
            </w:r>
          </w:p>
        </w:tc>
      </w:tr>
      <w:tr>
        <w:trPr/>
        <w:tc>
          <w:tcPr>
            <w:tcW w:w="3746" w:type="dxa"/>
            <w:tcBorders/>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3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3.86% - 4.47%</w:t>
            </w:r>
          </w:p>
        </w:tc>
        <w:tc>
          <w:tcPr>
            <w:tcW w:w="60"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3.80% - 4.16%</w:t>
            </w:r>
          </w:p>
        </w:tc>
        <w:tc>
          <w:tcPr>
            <w:tcW w:w="65" w:type="dxa"/>
            <w:tcBorders/>
            <w:vAlign w:val="bottom"/>
          </w:tcPr>
          <w:p>
            <w:pPr>
              <w:pStyle w:val="TableContents"/>
              <w:bidi w:val="0"/>
              <w:spacing w:before="0" w:after="283"/>
              <w:jc w:val="left"/>
              <w:rPr/>
            </w:pPr>
            <w:r>
              <w:rPr/>
              <w:t> </w:t>
            </w:r>
          </w:p>
        </w:tc>
      </w:tr>
      <w:tr>
        <w:trPr/>
        <w:tc>
          <w:tcPr>
            <w:tcW w:w="3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common stock</w:t>
            </w:r>
          </w:p>
        </w:tc>
        <w:tc>
          <w:tcPr>
            <w:tcW w:w="3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2" w:type="dxa"/>
            <w:tcBorders/>
            <w:shd w:fill="CCEEFF" w:val="clear"/>
            <w:vAlign w:val="bottom"/>
          </w:tcPr>
          <w:p>
            <w:pPr>
              <w:pStyle w:val="TableContents"/>
              <w:bidi w:val="0"/>
              <w:spacing w:before="0" w:after="283"/>
              <w:jc w:val="right"/>
              <w:rPr/>
            </w:pPr>
            <w:r>
              <w:rPr/>
              <w:t>$2.88 - $3.53</w:t>
            </w:r>
          </w:p>
        </w:tc>
        <w:tc>
          <w:tcPr>
            <w:tcW w:w="60"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2" w:type="dxa"/>
            <w:tcBorders/>
            <w:shd w:fill="CCEEFF" w:val="clear"/>
            <w:vAlign w:val="bottom"/>
          </w:tcPr>
          <w:p>
            <w:pPr>
              <w:pStyle w:val="TableContents"/>
              <w:bidi w:val="0"/>
              <w:spacing w:before="0" w:after="283"/>
              <w:jc w:val="right"/>
              <w:rPr/>
            </w:pPr>
            <w:r>
              <w:rPr/>
              <w:t>$3.53 - $4.92</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assumptions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i/>
                <w:sz w:val="20"/>
              </w:rPr>
              <w:t xml:space="preserve">Expected volatility. </w:t>
            </w:r>
            <w:r>
              <w:rPr>
                <w:rFonts w:ascii="Times New Roman" w:hAnsi="Times New Roman"/>
                <w:sz w:val="20"/>
              </w:rPr>
              <w:t xml:space="preserve">The expected stock price volatility assumption was determined by examining the historical volatilities for industry peers, as the Company did not have any trading history for the Company’s common stock. The Company will continue to analyze the historical stock price volatility and expected term assumption as more historical data for the Company’s common stock becomes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i/>
                <w:sz w:val="20"/>
              </w:rPr>
              <w:t xml:space="preserve">Expected dividend yield. </w:t>
            </w:r>
            <w:r>
              <w:rPr>
                <w:rFonts w:ascii="Times New Roman" w:hAnsi="Times New Roman"/>
                <w:sz w:val="20"/>
              </w:rPr>
              <w:t xml:space="preserve">The expected dividend is assumed to be zero as dividends have never been paid and there are no current plans to pay dividends on common stock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Expected term.</w:t>
            </w:r>
            <w:r>
              <w:rPr>
                <w:rFonts w:ascii="Times New Roman" w:hAnsi="Times New Roman"/>
                <w:sz w:val="20"/>
              </w:rPr>
              <w:t xml:space="preserve"> The expected term represents the weighted-average period the stock options are expected to remain outstanding and is based on the options’ vesting terms and contractual terms as the Company does not have sufficient historical information to develop reasonable expectations about future exercise patterns and post-vesting employment termination behavior.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i/>
                <w:sz w:val="20"/>
              </w:rPr>
              <w:t xml:space="preserve">Risk-free interest rate. </w:t>
            </w:r>
            <w:r>
              <w:rPr>
                <w:rFonts w:ascii="Times New Roman" w:hAnsi="Times New Roman"/>
                <w:sz w:val="20"/>
              </w:rPr>
              <w:t xml:space="preserve">The risk-free interest rate is based on the U.S. Treasury yield with a maturity equal to the expected term of the option in effect at the time of grant.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 xml:space="preserve">Fair value of common stock. </w:t>
            </w:r>
            <w:r>
              <w:rPr>
                <w:rFonts w:ascii="Times New Roman" w:hAnsi="Times New Roman"/>
                <w:sz w:val="20"/>
              </w:rPr>
              <w:t xml:space="preserve">The fair value of the Company’s common stock is determined by its board of directors with input from management and third-party valuation specialists. The Company’s approach to estimate the fair value of the Company’s common stock is consistent with the methods outlined in the American Institute of Certified Public Accountants Practice Aid, Valuation of Privately-Held-Company Equity Securities Issued as Compensation. Determining the best estimated fair value of the Company’s common stock requires significant judgment and management considers several factors, including the Company’s stage of development, equity market conditions affecting comparable public companies, significant milestones and progress of research and development efforts.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Based on the Company’s early stage of development and other relevant factors, the Company determined that an Option Pricing Method (“OPM”), primarily the OPM backsolve methodology, was the most appropriate method for allocating the enterprise value to determine the estimated fair value of its common stock for valuations performed from the Company’s inception through the end of 2024. Within the OPM framework, the backsolve method is used to infer the total equity value implied by a recent financing transaction or by an estimated equity value of the Company’s pipeline product candidates. The backsolve method involves the construction of an allocation model that takes into account the Company’s capital structure and the rights, preferences and privileges of each class of stock, and also assumes reasonable inputs for the other OPM variables, including expected time to liquidity, volatility, and risk-free rate. The total equity value is then iterated in the model until the model output value for the equity class sold in a recent financing round equals the price paid in that round. The OPM is generally utilized when specific future liquidity events are difficult to forecast (i.e., the enterprise has many choices and options available), and the enterprise’s value depends on how well it follows an uncharted path through the various possible opportunities and challenges. In determining the estimated fair value of the common stock, the Company’s board of directors also considered the fact that the stockholders could not freely trade the common stock in the public markets. Accordingly, the Company applied discounts to reflect the lack of marketability of its common stock based on the weighted-average expected time to liquidity. The estimated fair value of the common stock at each grant date reflected a non-marketability discount partially based on the anticipated likelihood and timing of a future liquidity event. </w:t>
      </w:r>
    </w:p>
    <w:p>
      <w:pPr>
        <w:pStyle w:val="TextBody"/>
        <w:bidi w:val="0"/>
        <w:spacing w:before="120" w:after="0"/>
        <w:jc w:val="both"/>
        <w:rPr>
          <w:rFonts w:ascii="Times New Roman" w:hAnsi="Times New Roman"/>
          <w:sz w:val="20"/>
        </w:rPr>
      </w:pPr>
      <w:r>
        <w:rPr>
          <w:rFonts w:ascii="Times New Roman" w:hAnsi="Times New Roman"/>
          <w:sz w:val="20"/>
        </w:rPr>
        <w:t xml:space="preserve">For valuations beginning in March 2025, the Company began using a hybrid method that combines the Probability-Weighted Expected Return Method (“PWERM”), an accepted valuation method described in the Practice Aid and the OPM. The PWERM contemplated a scenario in which the Company remained private with an uncertain future exit and scenario(s) in which the Company exited via initial public offering (“IPO”). For the scenario in which the Company remained private, the Company utilized the OPM as discussed above. For the scenario(s) in which the Company exited via IPO, the Company utilized an analysis based on observed step-up multiples achieved at IPO for comparable public issuers in which the Company applied a step-up multiple believed to be achievable at IPO to the post-money valuation achieved by the Company in its most recent (or expected future cross-over) financing round. The resulting total equity value for the Company estimated for a scenario(s) in which the Company exited via IPO was then allocated to the Company’s share classes using a waterfall allocation analysis that treats all preferred securities as immediately converting to common stock at the time of an IPO event. In determining the estimated fair value of the common stock, the Company’s board of directors also considered the fact that the stockholders could not freely trade the common stock in the public markets. Accordingly, the Company applied discounts to reflect the lack of marketability of its common stock based on the weighted-average expected time to liquidity in each of the contemplated exit scenarios. The estimated fair value of the common stock at each grant date reflected a non-marketability discount partially based on the anticipated likelihood and timing of a future liquidity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11.</w:t>
            </w:r>
          </w:p>
        </w:tc>
        <w:tc>
          <w:tcPr>
            <w:tcW w:w="9797"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both"/>
        <w:rPr>
          <w:rFonts w:ascii="Times New Roman" w:hAnsi="Times New Roman"/>
          <w:sz w:val="20"/>
        </w:rPr>
      </w:pPr>
      <w:r>
        <w:rPr>
          <w:rFonts w:ascii="Times New Roman" w:hAnsi="Times New Roman"/>
          <w:sz w:val="20"/>
        </w:rPr>
        <w:t xml:space="preserve">Net loss before provision for income taxes was distributed geographically for the years ended December 31, 2024 and 2025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60"/>
        <w:gridCol w:w="371"/>
        <w:gridCol w:w="146"/>
        <w:gridCol w:w="824"/>
        <w:gridCol w:w="155"/>
        <w:gridCol w:w="371"/>
        <w:gridCol w:w="146"/>
        <w:gridCol w:w="824"/>
        <w:gridCol w:w="158"/>
      </w:tblGrid>
      <w:tr>
        <w:trPr/>
        <w:tc>
          <w:tcPr>
            <w:tcW w:w="4760" w:type="dxa"/>
            <w:tcBorders/>
            <w:vAlign w:val="center"/>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246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8" w:type="dxa"/>
            <w:tcBorders/>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47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3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(39,801</w:t>
            </w:r>
          </w:p>
        </w:tc>
        <w:tc>
          <w:tcPr>
            <w:tcW w:w="155"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(60,634</w:t>
            </w:r>
          </w:p>
        </w:tc>
        <w:tc>
          <w:tcPr>
            <w:tcW w:w="158" w:type="dxa"/>
            <w:tcBorders/>
            <w:shd w:fill="CCEEFF" w:val="clear"/>
            <w:vAlign w:val="bottom"/>
          </w:tcPr>
          <w:p>
            <w:pPr>
              <w:pStyle w:val="TableContents"/>
              <w:bidi w:val="0"/>
              <w:spacing w:before="0" w:after="283"/>
              <w:jc w:val="left"/>
              <w:rPr/>
            </w:pPr>
            <w:r>
              <w:rPr/>
              <w:t>) </w:t>
            </w:r>
          </w:p>
        </w:tc>
      </w:tr>
      <w:tr>
        <w:trPr/>
        <w:tc>
          <w:tcPr>
            <w:tcW w:w="4760" w:type="dxa"/>
            <w:tcBorders/>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3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7</w:t>
            </w:r>
          </w:p>
        </w:tc>
        <w:tc>
          <w:tcPr>
            <w:tcW w:w="158" w:type="dxa"/>
            <w:tcBorders/>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7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(39,801</w:t>
            </w:r>
          </w:p>
        </w:tc>
        <w:tc>
          <w:tcPr>
            <w:tcW w:w="155"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(60,627</w:t>
            </w:r>
          </w:p>
        </w:tc>
        <w:tc>
          <w:tcPr>
            <w:tcW w:w="158"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8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82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There were no federal, state and local, or foreign provisions for income taxes recorded for the years ended December 31, 2024 and 2025, as the Company operated with taxable losses. </w:t>
      </w:r>
    </w:p>
    <w:p>
      <w:pPr>
        <w:pStyle w:val="TextBody"/>
        <w:bidi w:val="0"/>
        <w:spacing w:before="120" w:after="0"/>
        <w:jc w:val="both"/>
        <w:rPr>
          <w:rFonts w:ascii="Times New Roman" w:hAnsi="Times New Roman"/>
          <w:sz w:val="20"/>
        </w:rPr>
      </w:pPr>
      <w:r>
        <w:rPr>
          <w:rFonts w:ascii="Times New Roman" w:hAnsi="Times New Roman"/>
          <w:sz w:val="20"/>
        </w:rPr>
        <w:t xml:space="preserve">The income tax expense was zero for the year ended December 31, 2024. A reconciliation of the U.S. federal statutory income tax rate for the year ended December 31, 2024, presented under the disclosure requirements in effect prior to the adoption of ASU 2023-09, is as follows (in thousands):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6580"/>
        <w:gridCol w:w="486"/>
        <w:gridCol w:w="217"/>
        <w:gridCol w:w="1233"/>
        <w:gridCol w:w="158"/>
      </w:tblGrid>
      <w:tr>
        <w:trPr/>
        <w:tc>
          <w:tcPr>
            <w:tcW w:w="6580" w:type="dxa"/>
            <w:tcBorders/>
            <w:vAlign w:val="center"/>
          </w:tcPr>
          <w:p>
            <w:pPr>
              <w:pStyle w:val="TableContents"/>
              <w:bidi w:val="0"/>
              <w:spacing w:before="0" w:after="283"/>
              <w:jc w:val="left"/>
              <w:rPr>
                <w:sz w:val="4"/>
                <w:szCs w:val="4"/>
              </w:rPr>
            </w:pPr>
            <w:r>
              <w:rPr>
                <w:sz w:val="4"/>
                <w:szCs w:val="4"/>
              </w:rPr>
            </w:r>
          </w:p>
        </w:tc>
        <w:tc>
          <w:tcPr>
            <w:tcW w:w="486"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80"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14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2024</w:t>
            </w:r>
          </w:p>
        </w:tc>
        <w:tc>
          <w:tcPr>
            <w:tcW w:w="158" w:type="dxa"/>
            <w:tcBorders/>
            <w:vAlign w:val="bottom"/>
          </w:tcPr>
          <w:p>
            <w:pPr>
              <w:pStyle w:val="TableContents"/>
              <w:bidi w:val="0"/>
              <w:spacing w:before="0" w:after="283"/>
              <w:jc w:val="left"/>
              <w:rPr/>
            </w:pPr>
            <w:r>
              <w:rPr/>
              <w:t> </w:t>
            </w:r>
          </w:p>
        </w:tc>
      </w:tr>
      <w:tr>
        <w:trPr/>
        <w:tc>
          <w:tcPr>
            <w:tcW w:w="65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tax at statutory rate</w:t>
            </w:r>
          </w:p>
        </w:tc>
        <w:tc>
          <w:tcPr>
            <w:tcW w:w="48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233" w:type="dxa"/>
            <w:tcBorders/>
            <w:shd w:fill="CCEEFF" w:val="clear"/>
            <w:vAlign w:val="bottom"/>
          </w:tcPr>
          <w:p>
            <w:pPr>
              <w:pStyle w:val="TableContents"/>
              <w:bidi w:val="0"/>
              <w:spacing w:before="0" w:after="283"/>
              <w:jc w:val="right"/>
              <w:rPr/>
            </w:pPr>
            <w:r>
              <w:rPr/>
              <w:t> </w:t>
            </w:r>
            <w:r>
              <w:rPr/>
              <w:t>(8,358)</w:t>
            </w:r>
          </w:p>
        </w:tc>
        <w:tc>
          <w:tcPr>
            <w:tcW w:w="158" w:type="dxa"/>
            <w:tcBorders/>
            <w:shd w:fill="CCEEFF" w:val="clear"/>
            <w:vAlign w:val="bottom"/>
          </w:tcPr>
          <w:p>
            <w:pPr>
              <w:pStyle w:val="TableContents"/>
              <w:bidi w:val="0"/>
              <w:spacing w:before="0" w:after="283"/>
              <w:jc w:val="left"/>
              <w:rPr/>
            </w:pPr>
            <w:r>
              <w:rPr/>
              <w:t> </w:t>
            </w:r>
          </w:p>
        </w:tc>
      </w:tr>
      <w:tr>
        <w:trPr/>
        <w:tc>
          <w:tcPr>
            <w:tcW w:w="6580" w:type="dxa"/>
            <w:tcBorders/>
          </w:tcPr>
          <w:p>
            <w:pPr>
              <w:pStyle w:val="TableContents"/>
              <w:bidi w:val="0"/>
              <w:spacing w:before="0" w:after="0"/>
              <w:jc w:val="left"/>
              <w:rPr>
                <w:rFonts w:ascii="Times New Roman" w:hAnsi="Times New Roman"/>
                <w:sz w:val="20"/>
              </w:rPr>
            </w:pPr>
            <w:r>
              <w:rPr>
                <w:rFonts w:ascii="Times New Roman" w:hAnsi="Times New Roman"/>
                <w:sz w:val="20"/>
              </w:rPr>
              <w:t>State tax, net of federal benefit</w:t>
            </w:r>
          </w:p>
        </w:tc>
        <w:tc>
          <w:tcPr>
            <w:tcW w:w="48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1</w:t>
            </w:r>
          </w:p>
        </w:tc>
        <w:tc>
          <w:tcPr>
            <w:tcW w:w="158" w:type="dxa"/>
            <w:tcBorders/>
            <w:vAlign w:val="bottom"/>
          </w:tcPr>
          <w:p>
            <w:pPr>
              <w:pStyle w:val="TableContents"/>
              <w:bidi w:val="0"/>
              <w:spacing w:before="0" w:after="283"/>
              <w:jc w:val="left"/>
              <w:rPr/>
            </w:pPr>
            <w:r>
              <w:rPr/>
              <w:t> </w:t>
            </w:r>
          </w:p>
        </w:tc>
      </w:tr>
      <w:tr>
        <w:trPr/>
        <w:tc>
          <w:tcPr>
            <w:tcW w:w="65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48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291</w:t>
            </w:r>
          </w:p>
        </w:tc>
        <w:tc>
          <w:tcPr>
            <w:tcW w:w="158" w:type="dxa"/>
            <w:tcBorders/>
            <w:shd w:fill="CCEEFF" w:val="clear"/>
            <w:vAlign w:val="bottom"/>
          </w:tcPr>
          <w:p>
            <w:pPr>
              <w:pStyle w:val="TableContents"/>
              <w:bidi w:val="0"/>
              <w:spacing w:before="0" w:after="283"/>
              <w:jc w:val="left"/>
              <w:rPr/>
            </w:pPr>
            <w:r>
              <w:rPr/>
              <w:t> </w:t>
            </w:r>
          </w:p>
        </w:tc>
      </w:tr>
      <w:tr>
        <w:trPr/>
        <w:tc>
          <w:tcPr>
            <w:tcW w:w="6580" w:type="dxa"/>
            <w:tcBorders/>
          </w:tcPr>
          <w:p>
            <w:pPr>
              <w:pStyle w:val="TableContents"/>
              <w:bidi w:val="0"/>
              <w:spacing w:before="0" w:after="0"/>
              <w:jc w:val="left"/>
              <w:rPr>
                <w:rFonts w:ascii="Times New Roman" w:hAnsi="Times New Roman"/>
                <w:sz w:val="20"/>
              </w:rPr>
            </w:pPr>
            <w:r>
              <w:rPr>
                <w:rFonts w:ascii="Times New Roman" w:hAnsi="Times New Roman"/>
                <w:sz w:val="20"/>
              </w:rPr>
              <w:t>Credits</w:t>
            </w:r>
          </w:p>
        </w:tc>
        <w:tc>
          <w:tcPr>
            <w:tcW w:w="48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(506</w:t>
            </w:r>
          </w:p>
        </w:tc>
        <w:tc>
          <w:tcPr>
            <w:tcW w:w="158" w:type="dxa"/>
            <w:tcBorders/>
            <w:vAlign w:val="bottom"/>
          </w:tcPr>
          <w:p>
            <w:pPr>
              <w:pStyle w:val="TableContents"/>
              <w:bidi w:val="0"/>
              <w:spacing w:before="0" w:after="283"/>
              <w:jc w:val="left"/>
              <w:rPr/>
            </w:pPr>
            <w:r>
              <w:rPr/>
              <w:t>) </w:t>
            </w:r>
          </w:p>
        </w:tc>
      </w:tr>
      <w:tr>
        <w:trPr/>
        <w:tc>
          <w:tcPr>
            <w:tcW w:w="65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8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375</w:t>
            </w:r>
          </w:p>
        </w:tc>
        <w:tc>
          <w:tcPr>
            <w:tcW w:w="158" w:type="dxa"/>
            <w:tcBorders/>
            <w:shd w:fill="CCEEFF" w:val="clear"/>
            <w:vAlign w:val="bottom"/>
          </w:tcPr>
          <w:p>
            <w:pPr>
              <w:pStyle w:val="TableContents"/>
              <w:bidi w:val="0"/>
              <w:spacing w:before="0" w:after="283"/>
              <w:jc w:val="left"/>
              <w:rPr/>
            </w:pPr>
            <w:r>
              <w:rPr/>
              <w:t> </w:t>
            </w:r>
          </w:p>
        </w:tc>
      </w:tr>
      <w:tr>
        <w:trPr/>
        <w:tc>
          <w:tcPr>
            <w:tcW w:w="6580" w:type="dxa"/>
            <w:tcBorders/>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48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8,197</w:t>
            </w:r>
          </w:p>
        </w:tc>
        <w:tc>
          <w:tcPr>
            <w:tcW w:w="158" w:type="dxa"/>
            <w:tcBorders/>
            <w:vAlign w:val="bottom"/>
          </w:tcPr>
          <w:p>
            <w:pPr>
              <w:pStyle w:val="TableContents"/>
              <w:bidi w:val="0"/>
              <w:spacing w:before="0" w:after="283"/>
              <w:jc w:val="left"/>
              <w:rPr/>
            </w:pPr>
            <w:r>
              <w:rPr/>
              <w:t> </w:t>
            </w:r>
          </w:p>
        </w:tc>
      </w:tr>
      <w:tr>
        <w:trPr/>
        <w:tc>
          <w:tcPr>
            <w:tcW w:w="6580" w:type="dxa"/>
            <w:tcBorders/>
            <w:vAlign w:val="bottom"/>
          </w:tcPr>
          <w:p>
            <w:pPr>
              <w:pStyle w:val="TableContents"/>
              <w:bidi w:val="0"/>
              <w:spacing w:before="0" w:after="283"/>
              <w:jc w:val="left"/>
              <w:rPr>
                <w:sz w:val="4"/>
                <w:szCs w:val="4"/>
              </w:rPr>
            </w:pPr>
            <w:r>
              <w:rPr>
                <w:sz w:val="4"/>
                <w:szCs w:val="4"/>
              </w:rPr>
            </w:r>
          </w:p>
        </w:tc>
        <w:tc>
          <w:tcPr>
            <w:tcW w:w="486"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3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provision</w:t>
            </w:r>
          </w:p>
        </w:tc>
        <w:tc>
          <w:tcPr>
            <w:tcW w:w="48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23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580" w:type="dxa"/>
            <w:tcBorders/>
            <w:vAlign w:val="bottom"/>
          </w:tcPr>
          <w:p>
            <w:pPr>
              <w:pStyle w:val="TableContents"/>
              <w:bidi w:val="0"/>
              <w:spacing w:before="0" w:after="283"/>
              <w:jc w:val="left"/>
              <w:rPr>
                <w:sz w:val="4"/>
                <w:szCs w:val="4"/>
              </w:rPr>
            </w:pPr>
            <w:r>
              <w:rPr>
                <w:sz w:val="4"/>
                <w:szCs w:val="4"/>
              </w:rPr>
            </w:r>
          </w:p>
        </w:tc>
        <w:tc>
          <w:tcPr>
            <w:tcW w:w="486"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123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120" w:after="0"/>
        <w:jc w:val="both"/>
        <w:rPr>
          <w:rFonts w:ascii="Times New Roman" w:hAnsi="Times New Roman"/>
          <w:sz w:val="20"/>
        </w:rPr>
      </w:pPr>
      <w:r>
        <w:rPr>
          <w:rFonts w:ascii="Times New Roman" w:hAnsi="Times New Roman"/>
          <w:sz w:val="20"/>
        </w:rPr>
        <w:t xml:space="preserve">Beginning with the year ended December 31, 2025, the Company adopted ASU 2023-09 on a prospective basis. See Note 2. Summary of Significant Accounting Policies – Recently Adopted Accounting Pronouncements section for additional details. </w:t>
      </w:r>
    </w:p>
    <w:p>
      <w:pPr>
        <w:pStyle w:val="TextBody"/>
        <w:bidi w:val="0"/>
        <w:spacing w:before="120" w:after="0"/>
        <w:jc w:val="both"/>
        <w:rPr>
          <w:rFonts w:ascii="Times New Roman" w:hAnsi="Times New Roman"/>
          <w:sz w:val="20"/>
        </w:rPr>
      </w:pPr>
      <w:r>
        <w:rPr>
          <w:rFonts w:ascii="Times New Roman" w:hAnsi="Times New Roman"/>
          <w:sz w:val="20"/>
        </w:rPr>
        <w:t xml:space="preserve">A reconciliation of U.S. federal statutory income tax rate to the Company’s effective tax rate for the year ended December 31, 2025 is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85"/>
        <w:gridCol w:w="359"/>
        <w:gridCol w:w="167"/>
        <w:gridCol w:w="882"/>
        <w:gridCol w:w="179"/>
        <w:gridCol w:w="359"/>
        <w:gridCol w:w="60"/>
        <w:gridCol w:w="580"/>
        <w:gridCol w:w="284"/>
      </w:tblGrid>
      <w:tr>
        <w:trPr/>
        <w:tc>
          <w:tcPr>
            <w:tcW w:w="4885" w:type="dxa"/>
            <w:tcBorders/>
            <w:vAlign w:val="center"/>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4885"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222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2025</w:t>
            </w:r>
          </w:p>
        </w:tc>
        <w:tc>
          <w:tcPr>
            <w:tcW w:w="284" w:type="dxa"/>
            <w:tcBorders/>
            <w:vAlign w:val="bottom"/>
          </w:tcPr>
          <w:p>
            <w:pPr>
              <w:pStyle w:val="TableContents"/>
              <w:bidi w:val="0"/>
              <w:spacing w:before="0" w:after="283"/>
              <w:jc w:val="left"/>
              <w:rPr/>
            </w:pPr>
            <w:r>
              <w:rPr/>
              <w:t> </w:t>
            </w:r>
          </w:p>
        </w:tc>
      </w:tr>
      <w:tr>
        <w:trPr/>
        <w:tc>
          <w:tcPr>
            <w:tcW w:w="4885"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10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79"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6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4" w:type="dxa"/>
            <w:tcBorders/>
            <w:vAlign w:val="bottom"/>
          </w:tcPr>
          <w:p>
            <w:pPr>
              <w:pStyle w:val="TableContents"/>
              <w:bidi w:val="0"/>
              <w:spacing w:before="0" w:after="283"/>
              <w:jc w:val="left"/>
              <w:rPr/>
            </w:pPr>
            <w:r>
              <w:rPr/>
              <w:t> </w:t>
            </w:r>
          </w:p>
        </w:tc>
      </w:tr>
      <w:tr>
        <w:trPr/>
        <w:tc>
          <w:tcPr>
            <w:tcW w:w="4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before income taxes</w:t>
            </w:r>
          </w:p>
        </w:tc>
        <w:tc>
          <w:tcPr>
            <w:tcW w:w="35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(60,627</w:t>
            </w:r>
          </w:p>
        </w:tc>
        <w:tc>
          <w:tcPr>
            <w:tcW w:w="179"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r>
      <w:tr>
        <w:trPr/>
        <w:tc>
          <w:tcPr>
            <w:tcW w:w="4885" w:type="dxa"/>
            <w:tcBorders/>
          </w:tcPr>
          <w:p>
            <w:pPr>
              <w:pStyle w:val="TableContents"/>
              <w:bidi w:val="0"/>
              <w:spacing w:before="0" w:after="0"/>
              <w:jc w:val="left"/>
              <w:rPr>
                <w:rFonts w:ascii="Times New Roman" w:hAnsi="Times New Roman"/>
                <w:sz w:val="20"/>
              </w:rPr>
            </w:pPr>
            <w:r>
              <w:rPr>
                <w:rFonts w:ascii="Times New Roman" w:hAnsi="Times New Roman"/>
                <w:sz w:val="20"/>
              </w:rPr>
              <w:t>U.S. federal statutory tax rate</w:t>
            </w:r>
          </w:p>
        </w:tc>
        <w:tc>
          <w:tcPr>
            <w:tcW w:w="35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(12,732</w:t>
            </w:r>
          </w:p>
        </w:tc>
        <w:tc>
          <w:tcPr>
            <w:tcW w:w="179"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21.0</w:t>
            </w:r>
          </w:p>
        </w:tc>
        <w:tc>
          <w:tcPr>
            <w:tcW w:w="284" w:type="dxa"/>
            <w:tcBorders/>
            <w:vAlign w:val="bottom"/>
          </w:tcPr>
          <w:p>
            <w:pPr>
              <w:pStyle w:val="TableContents"/>
              <w:bidi w:val="0"/>
              <w:spacing w:before="0" w:after="283"/>
              <w:jc w:val="left"/>
              <w:rPr/>
            </w:pPr>
            <w:r>
              <w:rPr/>
              <w:t>% </w:t>
            </w:r>
          </w:p>
        </w:tc>
      </w:tr>
      <w:tr>
        <w:trPr/>
        <w:tc>
          <w:tcPr>
            <w:tcW w:w="4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tax credits</w:t>
            </w:r>
          </w:p>
        </w:tc>
        <w:tc>
          <w:tcPr>
            <w:tcW w:w="35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(655</w:t>
            </w:r>
          </w:p>
        </w:tc>
        <w:tc>
          <w:tcPr>
            <w:tcW w:w="179"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1.1</w:t>
            </w:r>
          </w:p>
        </w:tc>
        <w:tc>
          <w:tcPr>
            <w:tcW w:w="284" w:type="dxa"/>
            <w:tcBorders/>
            <w:shd w:fill="CCEEFF" w:val="clear"/>
            <w:vAlign w:val="bottom"/>
          </w:tcPr>
          <w:p>
            <w:pPr>
              <w:pStyle w:val="TableContents"/>
              <w:bidi w:val="0"/>
              <w:spacing w:before="0" w:after="283"/>
              <w:jc w:val="left"/>
              <w:rPr/>
            </w:pPr>
            <w:r>
              <w:rPr/>
              <w:t>% </w:t>
            </w:r>
          </w:p>
        </w:tc>
      </w:tr>
      <w:tr>
        <w:trPr/>
        <w:tc>
          <w:tcPr>
            <w:tcW w:w="4885" w:type="dxa"/>
            <w:tcBorders/>
          </w:tcPr>
          <w:p>
            <w:pPr>
              <w:pStyle w:val="TableContents"/>
              <w:bidi w:val="0"/>
              <w:spacing w:before="0" w:after="0"/>
              <w:jc w:val="left"/>
              <w:rPr>
                <w:rFonts w:ascii="Times New Roman" w:hAnsi="Times New Roman"/>
                <w:sz w:val="20"/>
              </w:rPr>
            </w:pPr>
            <w:r>
              <w:rPr>
                <w:rFonts w:ascii="Times New Roman" w:hAnsi="Times New Roman"/>
                <w:sz w:val="20"/>
              </w:rPr>
              <w:t>Changes in valuation allowance</w:t>
            </w:r>
          </w:p>
        </w:tc>
        <w:tc>
          <w:tcPr>
            <w:tcW w:w="35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13,593</w:t>
            </w:r>
          </w:p>
        </w:tc>
        <w:tc>
          <w:tcPr>
            <w:tcW w:w="179"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-22.5</w:t>
            </w:r>
          </w:p>
        </w:tc>
        <w:tc>
          <w:tcPr>
            <w:tcW w:w="284" w:type="dxa"/>
            <w:tcBorders/>
            <w:vAlign w:val="bottom"/>
          </w:tcPr>
          <w:p>
            <w:pPr>
              <w:pStyle w:val="TableContents"/>
              <w:bidi w:val="0"/>
              <w:spacing w:before="0" w:after="283"/>
              <w:jc w:val="left"/>
              <w:rPr/>
            </w:pPr>
            <w:r>
              <w:rPr/>
              <w:t>% </w:t>
            </w:r>
          </w:p>
        </w:tc>
      </w:tr>
      <w:tr>
        <w:trPr/>
        <w:tc>
          <w:tcPr>
            <w:tcW w:w="4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unrecognized tax benefits</w:t>
            </w:r>
          </w:p>
        </w:tc>
        <w:tc>
          <w:tcPr>
            <w:tcW w:w="35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(495</w:t>
            </w:r>
          </w:p>
        </w:tc>
        <w:tc>
          <w:tcPr>
            <w:tcW w:w="179"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0.8</w:t>
            </w:r>
          </w:p>
        </w:tc>
        <w:tc>
          <w:tcPr>
            <w:tcW w:w="284" w:type="dxa"/>
            <w:tcBorders/>
            <w:shd w:fill="CCEEFF" w:val="clear"/>
            <w:vAlign w:val="bottom"/>
          </w:tcPr>
          <w:p>
            <w:pPr>
              <w:pStyle w:val="TableContents"/>
              <w:bidi w:val="0"/>
              <w:spacing w:before="0" w:after="283"/>
              <w:jc w:val="left"/>
              <w:rPr/>
            </w:pPr>
            <w:r>
              <w:rPr/>
              <w:t>% </w:t>
            </w:r>
          </w:p>
        </w:tc>
      </w:tr>
      <w:tr>
        <w:trPr/>
        <w:tc>
          <w:tcPr>
            <w:tcW w:w="4885"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5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289</w:t>
            </w:r>
          </w:p>
        </w:tc>
        <w:tc>
          <w:tcPr>
            <w:tcW w:w="179"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-0.4</w:t>
            </w:r>
          </w:p>
        </w:tc>
        <w:tc>
          <w:tcPr>
            <w:tcW w:w="284" w:type="dxa"/>
            <w:tcBorders/>
            <w:vAlign w:val="bottom"/>
          </w:tcPr>
          <w:p>
            <w:pPr>
              <w:pStyle w:val="TableContents"/>
              <w:bidi w:val="0"/>
              <w:spacing w:before="0" w:after="283"/>
              <w:jc w:val="left"/>
              <w:rPr/>
            </w:pPr>
            <w:r>
              <w:rPr/>
              <w:t>% </w:t>
            </w:r>
          </w:p>
        </w:tc>
      </w:tr>
      <w:tr>
        <w:trPr/>
        <w:tc>
          <w:tcPr>
            <w:tcW w:w="4885"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79" w:type="dxa"/>
            <w:tcBorders/>
            <w:vAlign w:val="center"/>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r>
        <w:trPr/>
        <w:tc>
          <w:tcPr>
            <w:tcW w:w="48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Effective tax rate</w:t>
            </w:r>
          </w:p>
        </w:tc>
        <w:tc>
          <w:tcPr>
            <w:tcW w:w="35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0.0</w:t>
            </w:r>
          </w:p>
        </w:tc>
        <w:tc>
          <w:tcPr>
            <w:tcW w:w="284" w:type="dxa"/>
            <w:tcBorders/>
            <w:shd w:fill="CCEEFF" w:val="clear"/>
            <w:vAlign w:val="bottom"/>
          </w:tcPr>
          <w:p>
            <w:pPr>
              <w:pStyle w:val="TableContents"/>
              <w:bidi w:val="0"/>
              <w:spacing w:before="0" w:after="283"/>
              <w:jc w:val="left"/>
              <w:rPr/>
            </w:pPr>
            <w:r>
              <w:rPr/>
              <w:t>% </w:t>
            </w:r>
          </w:p>
        </w:tc>
      </w:tr>
      <w:tr>
        <w:trPr/>
        <w:tc>
          <w:tcPr>
            <w:tcW w:w="4885"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79" w:type="dxa"/>
            <w:tcBorders/>
            <w:vAlign w:val="center"/>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80"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Deferred income taxes reflect the net tax effects of temporary differences between the carrying amount of assets and liabilities for financial reporting purposes and the amounts used for income tax purposes. Significant components of deferred tax assets and liabilities as of December 31, 2024 and 2025 were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35"/>
        <w:gridCol w:w="551"/>
        <w:gridCol w:w="140"/>
        <w:gridCol w:w="762"/>
        <w:gridCol w:w="155"/>
        <w:gridCol w:w="551"/>
        <w:gridCol w:w="140"/>
        <w:gridCol w:w="762"/>
        <w:gridCol w:w="159"/>
      </w:tblGrid>
      <w:tr>
        <w:trPr/>
        <w:tc>
          <w:tcPr>
            <w:tcW w:w="4535" w:type="dxa"/>
            <w:tcBorders/>
            <w:vAlign w:val="center"/>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35"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25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9" w:type="dxa"/>
            <w:tcBorders/>
            <w:vAlign w:val="bottom"/>
          </w:tcPr>
          <w:p>
            <w:pPr>
              <w:pStyle w:val="TableContents"/>
              <w:bidi w:val="0"/>
              <w:spacing w:before="0" w:after="283"/>
              <w:jc w:val="left"/>
              <w:rPr/>
            </w:pPr>
            <w:r>
              <w:rPr/>
              <w:t> </w:t>
            </w:r>
          </w:p>
        </w:tc>
      </w:tr>
      <w:tr>
        <w:trPr/>
        <w:tc>
          <w:tcPr>
            <w:tcW w:w="4535"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9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9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4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535" w:type="dxa"/>
            <w:tcBorders/>
          </w:tcPr>
          <w:p>
            <w:pPr>
              <w:pStyle w:val="TableContents"/>
              <w:bidi w:val="0"/>
              <w:spacing w:before="0" w:after="0"/>
              <w:jc w:val="left"/>
              <w:rPr>
                <w:rFonts w:ascii="Times New Roman" w:hAnsi="Times New Roman"/>
                <w:sz w:val="20"/>
              </w:rPr>
            </w:pPr>
            <w:r>
              <w:rPr>
                <w:rFonts w:ascii="Times New Roman" w:hAnsi="Times New Roman"/>
                <w:sz w:val="20"/>
              </w:rPr>
              <w:t>Net operating loss carryforwards</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2" w:type="dxa"/>
            <w:tcBorders/>
            <w:vAlign w:val="bottom"/>
          </w:tcPr>
          <w:p>
            <w:pPr>
              <w:pStyle w:val="TableContents"/>
              <w:bidi w:val="0"/>
              <w:spacing w:before="0" w:after="283"/>
              <w:jc w:val="right"/>
              <w:rPr/>
            </w:pPr>
            <w:r>
              <w:rPr/>
              <w:t>34</w:t>
            </w:r>
          </w:p>
        </w:tc>
        <w:tc>
          <w:tcPr>
            <w:tcW w:w="155"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2" w:type="dxa"/>
            <w:tcBorders/>
            <w:vAlign w:val="bottom"/>
          </w:tcPr>
          <w:p>
            <w:pPr>
              <w:pStyle w:val="TableContents"/>
              <w:bidi w:val="0"/>
              <w:spacing w:before="0" w:after="283"/>
              <w:jc w:val="right"/>
              <w:rPr/>
            </w:pPr>
            <w:r>
              <w:rPr/>
              <w:t>4,746</w:t>
            </w:r>
          </w:p>
        </w:tc>
        <w:tc>
          <w:tcPr>
            <w:tcW w:w="159" w:type="dxa"/>
            <w:tcBorders/>
            <w:vAlign w:val="bottom"/>
          </w:tcPr>
          <w:p>
            <w:pPr>
              <w:pStyle w:val="TableContents"/>
              <w:bidi w:val="0"/>
              <w:spacing w:before="0" w:after="283"/>
              <w:jc w:val="left"/>
              <w:rPr/>
            </w:pPr>
            <w:r>
              <w:rPr/>
              <w:t> </w:t>
            </w:r>
          </w:p>
        </w:tc>
      </w:tr>
      <w:tr>
        <w:trPr/>
        <w:tc>
          <w:tcPr>
            <w:tcW w:w="4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credits</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894</w:t>
            </w:r>
          </w:p>
        </w:tc>
        <w:tc>
          <w:tcPr>
            <w:tcW w:w="155"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1,910</w:t>
            </w:r>
          </w:p>
        </w:tc>
        <w:tc>
          <w:tcPr>
            <w:tcW w:w="159" w:type="dxa"/>
            <w:tcBorders/>
            <w:shd w:fill="CCEEFF" w:val="clear"/>
            <w:vAlign w:val="bottom"/>
          </w:tcPr>
          <w:p>
            <w:pPr>
              <w:pStyle w:val="TableContents"/>
              <w:bidi w:val="0"/>
              <w:spacing w:before="0" w:after="283"/>
              <w:jc w:val="left"/>
              <w:rPr/>
            </w:pPr>
            <w:r>
              <w:rPr/>
              <w:t> </w:t>
            </w:r>
          </w:p>
        </w:tc>
      </w:tr>
      <w:tr>
        <w:trPr/>
        <w:tc>
          <w:tcPr>
            <w:tcW w:w="4535" w:type="dxa"/>
            <w:tcBorders/>
          </w:tcPr>
          <w:p>
            <w:pPr>
              <w:pStyle w:val="TableContents"/>
              <w:bidi w:val="0"/>
              <w:spacing w:before="0" w:after="0"/>
              <w:jc w:val="left"/>
              <w:rPr>
                <w:rFonts w:ascii="Times New Roman" w:hAnsi="Times New Roman"/>
                <w:sz w:val="20"/>
              </w:rPr>
            </w:pPr>
            <w:r>
              <w:rPr>
                <w:rFonts w:ascii="Times New Roman" w:hAnsi="Times New Roman"/>
                <w:sz w:val="20"/>
              </w:rPr>
              <w:t>Accrual and reserves</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433</w:t>
            </w:r>
          </w:p>
        </w:tc>
        <w:tc>
          <w:tcPr>
            <w:tcW w:w="155"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827</w:t>
            </w:r>
          </w:p>
        </w:tc>
        <w:tc>
          <w:tcPr>
            <w:tcW w:w="159" w:type="dxa"/>
            <w:tcBorders/>
            <w:vAlign w:val="bottom"/>
          </w:tcPr>
          <w:p>
            <w:pPr>
              <w:pStyle w:val="TableContents"/>
              <w:bidi w:val="0"/>
              <w:spacing w:before="0" w:after="283"/>
              <w:jc w:val="left"/>
              <w:rPr/>
            </w:pPr>
            <w:r>
              <w:rPr/>
              <w:t> </w:t>
            </w:r>
          </w:p>
        </w:tc>
      </w:tr>
      <w:tr>
        <w:trPr/>
        <w:tc>
          <w:tcPr>
            <w:tcW w:w="4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6,774</w:t>
            </w:r>
          </w:p>
        </w:tc>
        <w:tc>
          <w:tcPr>
            <w:tcW w:w="155"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10,233</w:t>
            </w:r>
          </w:p>
        </w:tc>
        <w:tc>
          <w:tcPr>
            <w:tcW w:w="159" w:type="dxa"/>
            <w:tcBorders/>
            <w:shd w:fill="CCEEFF" w:val="clear"/>
            <w:vAlign w:val="bottom"/>
          </w:tcPr>
          <w:p>
            <w:pPr>
              <w:pStyle w:val="TableContents"/>
              <w:bidi w:val="0"/>
              <w:spacing w:before="0" w:after="283"/>
              <w:jc w:val="left"/>
              <w:rPr/>
            </w:pPr>
            <w:r>
              <w:rPr/>
              <w:t> </w:t>
            </w:r>
          </w:p>
        </w:tc>
      </w:tr>
      <w:tr>
        <w:trPr/>
        <w:tc>
          <w:tcPr>
            <w:tcW w:w="4535"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1,927</w:t>
            </w:r>
          </w:p>
        </w:tc>
        <w:tc>
          <w:tcPr>
            <w:tcW w:w="155"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5,725</w:t>
            </w:r>
          </w:p>
        </w:tc>
        <w:tc>
          <w:tcPr>
            <w:tcW w:w="159" w:type="dxa"/>
            <w:tcBorders/>
            <w:vAlign w:val="bottom"/>
          </w:tcPr>
          <w:p>
            <w:pPr>
              <w:pStyle w:val="TableContents"/>
              <w:bidi w:val="0"/>
              <w:spacing w:before="0" w:after="283"/>
              <w:jc w:val="left"/>
              <w:rPr/>
            </w:pPr>
            <w:r>
              <w:rPr/>
              <w:t> </w:t>
            </w:r>
          </w:p>
        </w:tc>
      </w:tr>
      <w:tr>
        <w:trPr/>
        <w:tc>
          <w:tcPr>
            <w:tcW w:w="4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18</w:t>
            </w:r>
          </w:p>
        </w:tc>
        <w:tc>
          <w:tcPr>
            <w:tcW w:w="155"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4535"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liability</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1,105</w:t>
            </w:r>
          </w:p>
        </w:tc>
        <w:tc>
          <w:tcPr>
            <w:tcW w:w="159" w:type="dxa"/>
            <w:tcBorders/>
            <w:vAlign w:val="bottom"/>
          </w:tcPr>
          <w:p>
            <w:pPr>
              <w:pStyle w:val="TableContents"/>
              <w:bidi w:val="0"/>
              <w:spacing w:before="0" w:after="283"/>
              <w:jc w:val="left"/>
              <w:rPr/>
            </w:pPr>
            <w:r>
              <w:rPr/>
              <w:t> </w:t>
            </w:r>
          </w:p>
        </w:tc>
      </w:tr>
      <w:tr>
        <w:trPr/>
        <w:tc>
          <w:tcPr>
            <w:tcW w:w="4535"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10,080</w:t>
            </w:r>
          </w:p>
        </w:tc>
        <w:tc>
          <w:tcPr>
            <w:tcW w:w="155"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24,546</w:t>
            </w:r>
          </w:p>
        </w:tc>
        <w:tc>
          <w:tcPr>
            <w:tcW w:w="159" w:type="dxa"/>
            <w:tcBorders/>
            <w:shd w:fill="CCEEFF" w:val="clear"/>
            <w:vAlign w:val="bottom"/>
          </w:tcPr>
          <w:p>
            <w:pPr>
              <w:pStyle w:val="TableContents"/>
              <w:bidi w:val="0"/>
              <w:spacing w:before="0" w:after="283"/>
              <w:jc w:val="left"/>
              <w:rPr/>
            </w:pPr>
            <w:r>
              <w:rPr/>
              <w:t> </w:t>
            </w:r>
          </w:p>
        </w:tc>
      </w:tr>
      <w:tr>
        <w:trPr/>
        <w:tc>
          <w:tcPr>
            <w:tcW w:w="4535"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(91</w:t>
            </w:r>
          </w:p>
        </w:tc>
        <w:tc>
          <w:tcPr>
            <w:tcW w:w="159" w:type="dxa"/>
            <w:tcBorders/>
            <w:shd w:fill="CCEEFF" w:val="clear"/>
            <w:vAlign w:val="bottom"/>
          </w:tcPr>
          <w:p>
            <w:pPr>
              <w:pStyle w:val="TableContents"/>
              <w:bidi w:val="0"/>
              <w:spacing w:before="0" w:after="283"/>
              <w:jc w:val="left"/>
              <w:rPr/>
            </w:pPr>
            <w:r>
              <w:rPr/>
              <w:t>) </w:t>
            </w:r>
          </w:p>
        </w:tc>
      </w:tr>
      <w:tr>
        <w:trPr/>
        <w:tc>
          <w:tcPr>
            <w:tcW w:w="4535"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(919</w:t>
            </w:r>
          </w:p>
        </w:tc>
        <w:tc>
          <w:tcPr>
            <w:tcW w:w="159" w:type="dxa"/>
            <w:tcBorders/>
            <w:vAlign w:val="bottom"/>
          </w:tcPr>
          <w:p>
            <w:pPr>
              <w:pStyle w:val="TableContents"/>
              <w:bidi w:val="0"/>
              <w:spacing w:before="0" w:after="283"/>
              <w:jc w:val="left"/>
              <w:rPr/>
            </w:pPr>
            <w:r>
              <w:rPr/>
              <w:t>) </w:t>
            </w:r>
          </w:p>
        </w:tc>
      </w:tr>
      <w:tr>
        <w:trPr/>
        <w:tc>
          <w:tcPr>
            <w:tcW w:w="4535"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tax liabilities</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(1,010</w:t>
            </w:r>
          </w:p>
        </w:tc>
        <w:tc>
          <w:tcPr>
            <w:tcW w:w="159" w:type="dxa"/>
            <w:tcBorders/>
            <w:shd w:fill="CCEEFF" w:val="clear"/>
            <w:vAlign w:val="bottom"/>
          </w:tcPr>
          <w:p>
            <w:pPr>
              <w:pStyle w:val="TableContents"/>
              <w:bidi w:val="0"/>
              <w:spacing w:before="0" w:after="283"/>
              <w:jc w:val="left"/>
              <w:rPr/>
            </w:pPr>
            <w:r>
              <w:rPr/>
              <w:t>) </w:t>
            </w:r>
          </w:p>
        </w:tc>
      </w:tr>
      <w:tr>
        <w:trPr/>
        <w:tc>
          <w:tcPr>
            <w:tcW w:w="4535" w:type="dxa"/>
            <w:tcBorders/>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(10,080</w:t>
            </w:r>
          </w:p>
        </w:tc>
        <w:tc>
          <w:tcPr>
            <w:tcW w:w="155"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(23,536</w:t>
            </w:r>
          </w:p>
        </w:tc>
        <w:tc>
          <w:tcPr>
            <w:tcW w:w="159" w:type="dxa"/>
            <w:tcBorders/>
            <w:vAlign w:val="bottom"/>
          </w:tcPr>
          <w:p>
            <w:pPr>
              <w:pStyle w:val="TableContents"/>
              <w:bidi w:val="0"/>
              <w:spacing w:before="0" w:after="283"/>
              <w:jc w:val="left"/>
              <w:rPr/>
            </w:pPr>
            <w:r>
              <w:rPr/>
              <w:t>) </w:t>
            </w:r>
          </w:p>
        </w:tc>
      </w:tr>
      <w:tr>
        <w:trPr/>
        <w:tc>
          <w:tcPr>
            <w:tcW w:w="4535"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4535"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following table represents the Company’s valuation allowance balance as of December 31, 2024 and 2025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71"/>
        <w:gridCol w:w="376"/>
        <w:gridCol w:w="142"/>
        <w:gridCol w:w="762"/>
        <w:gridCol w:w="60"/>
        <w:gridCol w:w="376"/>
        <w:gridCol w:w="142"/>
        <w:gridCol w:w="762"/>
        <w:gridCol w:w="64"/>
      </w:tblGrid>
      <w:tr>
        <w:trPr/>
        <w:tc>
          <w:tcPr>
            <w:tcW w:w="5071"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071"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224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4" w:type="dxa"/>
            <w:tcBorders/>
            <w:vAlign w:val="bottom"/>
          </w:tcPr>
          <w:p>
            <w:pPr>
              <w:pStyle w:val="TableContents"/>
              <w:bidi w:val="0"/>
              <w:spacing w:before="0" w:after="283"/>
              <w:jc w:val="left"/>
              <w:rPr/>
            </w:pPr>
            <w:r>
              <w:rPr/>
              <w:t> </w:t>
            </w:r>
          </w:p>
        </w:tc>
      </w:tr>
      <w:tr>
        <w:trPr/>
        <w:tc>
          <w:tcPr>
            <w:tcW w:w="5071"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4" w:type="dxa"/>
            <w:tcBorders/>
            <w:vAlign w:val="bottom"/>
          </w:tcPr>
          <w:p>
            <w:pPr>
              <w:pStyle w:val="TableContents"/>
              <w:bidi w:val="0"/>
              <w:spacing w:before="0" w:after="283"/>
              <w:jc w:val="left"/>
              <w:rPr/>
            </w:pPr>
            <w:r>
              <w:rPr/>
              <w:t> </w:t>
            </w:r>
          </w:p>
        </w:tc>
      </w:tr>
      <w:tr>
        <w:trPr/>
        <w:tc>
          <w:tcPr>
            <w:tcW w:w="50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37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62" w:type="dxa"/>
            <w:tcBorders/>
            <w:shd w:fill="CCEEFF" w:val="clear"/>
            <w:vAlign w:val="bottom"/>
          </w:tcPr>
          <w:p>
            <w:pPr>
              <w:pStyle w:val="TableContents"/>
              <w:bidi w:val="0"/>
              <w:spacing w:before="0" w:after="283"/>
              <w:jc w:val="right"/>
              <w:rPr/>
            </w:pPr>
            <w:r>
              <w:rPr/>
              <w:t>1,647</w:t>
            </w:r>
          </w:p>
        </w:tc>
        <w:tc>
          <w:tcPr>
            <w:tcW w:w="6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62" w:type="dxa"/>
            <w:tcBorders/>
            <w:shd w:fill="CCEEFF" w:val="clear"/>
            <w:vAlign w:val="bottom"/>
          </w:tcPr>
          <w:p>
            <w:pPr>
              <w:pStyle w:val="TableContents"/>
              <w:bidi w:val="0"/>
              <w:spacing w:before="0" w:after="283"/>
              <w:jc w:val="right"/>
              <w:rPr/>
            </w:pPr>
            <w:r>
              <w:rPr/>
              <w:t>10,080</w:t>
            </w:r>
          </w:p>
        </w:tc>
        <w:tc>
          <w:tcPr>
            <w:tcW w:w="64" w:type="dxa"/>
            <w:tcBorders/>
            <w:shd w:fill="CCEEFF" w:val="clear"/>
            <w:vAlign w:val="bottom"/>
          </w:tcPr>
          <w:p>
            <w:pPr>
              <w:pStyle w:val="TableContents"/>
              <w:bidi w:val="0"/>
              <w:spacing w:before="0" w:after="283"/>
              <w:jc w:val="left"/>
              <w:rPr/>
            </w:pPr>
            <w:r>
              <w:rPr/>
              <w:t> </w:t>
            </w:r>
          </w:p>
        </w:tc>
      </w:tr>
      <w:tr>
        <w:trPr/>
        <w:tc>
          <w:tcPr>
            <w:tcW w:w="5071" w:type="dxa"/>
            <w:tcBorders/>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37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8,433</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13,456</w:t>
            </w:r>
          </w:p>
        </w:tc>
        <w:tc>
          <w:tcPr>
            <w:tcW w:w="64" w:type="dxa"/>
            <w:tcBorders/>
            <w:vAlign w:val="bottom"/>
          </w:tcPr>
          <w:p>
            <w:pPr>
              <w:pStyle w:val="TableContents"/>
              <w:bidi w:val="0"/>
              <w:spacing w:before="0" w:after="283"/>
              <w:jc w:val="left"/>
              <w:rPr/>
            </w:pPr>
            <w:r>
              <w:rPr/>
              <w:t> </w:t>
            </w:r>
          </w:p>
        </w:tc>
      </w:tr>
      <w:tr>
        <w:trPr/>
        <w:tc>
          <w:tcPr>
            <w:tcW w:w="50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Write-offs or deductions</w:t>
            </w:r>
          </w:p>
        </w:tc>
        <w:tc>
          <w:tcPr>
            <w:tcW w:w="37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5071"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071" w:type="dxa"/>
            <w:tcBorders/>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37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762" w:type="dxa"/>
            <w:tcBorders/>
            <w:vAlign w:val="bottom"/>
          </w:tcPr>
          <w:p>
            <w:pPr>
              <w:pStyle w:val="TableContents"/>
              <w:bidi w:val="0"/>
              <w:spacing w:before="0" w:after="283"/>
              <w:jc w:val="right"/>
              <w:rPr/>
            </w:pPr>
            <w:r>
              <w:rPr/>
              <w:t>10,080</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762" w:type="dxa"/>
            <w:tcBorders/>
            <w:vAlign w:val="bottom"/>
          </w:tcPr>
          <w:p>
            <w:pPr>
              <w:pStyle w:val="TableContents"/>
              <w:bidi w:val="0"/>
              <w:spacing w:before="0" w:after="283"/>
              <w:jc w:val="right"/>
              <w:rPr/>
            </w:pPr>
            <w:r>
              <w:rPr/>
              <w:t>23,536</w:t>
            </w:r>
          </w:p>
        </w:tc>
        <w:tc>
          <w:tcPr>
            <w:tcW w:w="64" w:type="dxa"/>
            <w:tcBorders/>
            <w:vAlign w:val="bottom"/>
          </w:tcPr>
          <w:p>
            <w:pPr>
              <w:pStyle w:val="TableContents"/>
              <w:bidi w:val="0"/>
              <w:spacing w:before="0" w:after="283"/>
              <w:jc w:val="left"/>
              <w:rPr/>
            </w:pPr>
            <w:r>
              <w:rPr/>
              <w:t> </w:t>
            </w:r>
          </w:p>
        </w:tc>
      </w:tr>
      <w:tr>
        <w:trPr/>
        <w:tc>
          <w:tcPr>
            <w:tcW w:w="5071"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76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76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120" w:after="0"/>
        <w:jc w:val="both"/>
        <w:rPr>
          <w:rFonts w:ascii="Times New Roman" w:hAnsi="Times New Roman"/>
          <w:sz w:val="20"/>
        </w:rPr>
      </w:pPr>
      <w:r>
        <w:rPr>
          <w:rFonts w:ascii="Times New Roman" w:hAnsi="Times New Roman"/>
          <w:sz w:val="20"/>
        </w:rPr>
        <w:t xml:space="preserve">A valuation allowance is required to be established when it is more likely than not that all or a portion of a deferred tax asset will not be realized. Realization of deferred tax assets is dependent upon future earnings, the timing and amount of which are uncertain. The Company believes that, based on a number of factors such as the history of operating losses, it is more likely than not that the deferred tax assets will not be fully realized, such that a full valuation allowance has been recorded. The valuation allowance was $23.5 million for the year ended December 31, 2025, primarily due to capitalized foreign research and development expenditures, intangible assets, and net operating loss carryforwards.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following table represents the Company’s U.S. federal and state net operating loss carryforwards and tax credits as of December 31, 2025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28"/>
        <w:gridCol w:w="299"/>
        <w:gridCol w:w="146"/>
        <w:gridCol w:w="781"/>
        <w:gridCol w:w="60"/>
        <w:gridCol w:w="299"/>
        <w:gridCol w:w="67"/>
        <w:gridCol w:w="1709"/>
        <w:gridCol w:w="66"/>
      </w:tblGrid>
      <w:tr>
        <w:trPr/>
        <w:tc>
          <w:tcPr>
            <w:tcW w:w="4328"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328"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9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7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Begin to expire</w:t>
            </w:r>
          </w:p>
        </w:tc>
        <w:tc>
          <w:tcPr>
            <w:tcW w:w="66" w:type="dxa"/>
            <w:tcBorders/>
            <w:vAlign w:val="bottom"/>
          </w:tcPr>
          <w:p>
            <w:pPr>
              <w:pStyle w:val="TableContents"/>
              <w:bidi w:val="0"/>
              <w:spacing w:before="0" w:after="283"/>
              <w:jc w:val="left"/>
              <w:rPr/>
            </w:pPr>
            <w:r>
              <w:rPr/>
              <w:t> </w:t>
            </w:r>
          </w:p>
        </w:tc>
      </w:tr>
      <w:tr>
        <w:trPr/>
        <w:tc>
          <w:tcPr>
            <w:tcW w:w="4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operating losses, U.S. Federal</w:t>
            </w:r>
          </w:p>
        </w:tc>
        <w:tc>
          <w:tcPr>
            <w:tcW w:w="2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81" w:type="dxa"/>
            <w:tcBorders/>
            <w:shd w:fill="CCEEFF" w:val="clear"/>
            <w:vAlign w:val="bottom"/>
          </w:tcPr>
          <w:p>
            <w:pPr>
              <w:pStyle w:val="TableContents"/>
              <w:bidi w:val="0"/>
              <w:spacing w:before="0" w:after="283"/>
              <w:jc w:val="right"/>
              <w:rPr/>
            </w:pPr>
            <w:r>
              <w:rPr/>
              <w:t>24,151</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709" w:type="dxa"/>
            <w:tcBorders/>
            <w:shd w:fill="CCEEFF" w:val="clear"/>
            <w:vAlign w:val="bottom"/>
          </w:tcPr>
          <w:p>
            <w:pPr>
              <w:pStyle w:val="TableContents"/>
              <w:bidi w:val="0"/>
              <w:spacing w:before="0" w:after="283"/>
              <w:jc w:val="right"/>
              <w:rPr/>
            </w:pPr>
            <w:r>
              <w:rPr/>
              <w:t>Do not expire</w:t>
            </w:r>
          </w:p>
        </w:tc>
        <w:tc>
          <w:tcPr>
            <w:tcW w:w="66" w:type="dxa"/>
            <w:tcBorders/>
            <w:shd w:fill="CCEEFF" w:val="clear"/>
            <w:vAlign w:val="bottom"/>
          </w:tcPr>
          <w:p>
            <w:pPr>
              <w:pStyle w:val="TableContents"/>
              <w:bidi w:val="0"/>
              <w:spacing w:before="0" w:after="283"/>
              <w:jc w:val="left"/>
              <w:rPr/>
            </w:pPr>
            <w:r>
              <w:rPr/>
              <w:t> </w:t>
            </w:r>
          </w:p>
        </w:tc>
      </w:tr>
      <w:tr>
        <w:trPr/>
        <w:tc>
          <w:tcPr>
            <w:tcW w:w="4328" w:type="dxa"/>
            <w:tcBorders/>
          </w:tcPr>
          <w:p>
            <w:pPr>
              <w:pStyle w:val="TableContents"/>
              <w:bidi w:val="0"/>
              <w:spacing w:before="0" w:after="0"/>
              <w:jc w:val="left"/>
              <w:rPr>
                <w:rFonts w:ascii="Times New Roman" w:hAnsi="Times New Roman"/>
                <w:sz w:val="20"/>
              </w:rPr>
            </w:pPr>
            <w:r>
              <w:rPr>
                <w:rFonts w:ascii="Times New Roman" w:hAnsi="Times New Roman"/>
                <w:sz w:val="20"/>
              </w:rPr>
              <w:t>Net operating losses, U.S. States</w:t>
            </w:r>
          </w:p>
        </w:tc>
        <w:tc>
          <w:tcPr>
            <w:tcW w:w="29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81"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709" w:type="dxa"/>
            <w:tcBorders/>
            <w:vAlign w:val="bottom"/>
          </w:tcPr>
          <w:p>
            <w:pPr>
              <w:pStyle w:val="TableContents"/>
              <w:bidi w:val="0"/>
              <w:spacing w:before="0" w:after="283"/>
              <w:jc w:val="right"/>
              <w:rPr/>
            </w:pPr>
            <w:r>
              <w:rPr/>
              <w:t>2044</w:t>
            </w:r>
          </w:p>
        </w:tc>
        <w:tc>
          <w:tcPr>
            <w:tcW w:w="66" w:type="dxa"/>
            <w:tcBorders/>
            <w:vAlign w:val="bottom"/>
          </w:tcPr>
          <w:p>
            <w:pPr>
              <w:pStyle w:val="TableContents"/>
              <w:bidi w:val="0"/>
              <w:spacing w:before="0" w:after="283"/>
              <w:jc w:val="left"/>
              <w:rPr/>
            </w:pPr>
            <w:r>
              <w:rPr/>
              <w:t> </w:t>
            </w:r>
          </w:p>
        </w:tc>
      </w:tr>
      <w:tr>
        <w:trPr/>
        <w:tc>
          <w:tcPr>
            <w:tcW w:w="4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credits, U.S. Federal</w:t>
            </w:r>
          </w:p>
        </w:tc>
        <w:tc>
          <w:tcPr>
            <w:tcW w:w="2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81" w:type="dxa"/>
            <w:tcBorders/>
            <w:shd w:fill="CCEEFF" w:val="clear"/>
            <w:vAlign w:val="bottom"/>
          </w:tcPr>
          <w:p>
            <w:pPr>
              <w:pStyle w:val="TableContents"/>
              <w:bidi w:val="0"/>
              <w:spacing w:before="0" w:after="283"/>
              <w:jc w:val="right"/>
              <w:rPr/>
            </w:pPr>
            <w:r>
              <w:rPr/>
              <w:t>1,193</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709" w:type="dxa"/>
            <w:tcBorders/>
            <w:shd w:fill="CCEEFF" w:val="clear"/>
            <w:vAlign w:val="bottom"/>
          </w:tcPr>
          <w:p>
            <w:pPr>
              <w:pStyle w:val="TableContents"/>
              <w:bidi w:val="0"/>
              <w:spacing w:before="0" w:after="283"/>
              <w:jc w:val="right"/>
              <w:rPr/>
            </w:pPr>
            <w:r>
              <w:rPr/>
              <w:t>2044</w:t>
            </w:r>
          </w:p>
        </w:tc>
        <w:tc>
          <w:tcPr>
            <w:tcW w:w="66" w:type="dxa"/>
            <w:tcBorders/>
            <w:shd w:fill="CCEEFF" w:val="clear"/>
            <w:vAlign w:val="bottom"/>
          </w:tcPr>
          <w:p>
            <w:pPr>
              <w:pStyle w:val="TableContents"/>
              <w:bidi w:val="0"/>
              <w:spacing w:before="0" w:after="283"/>
              <w:jc w:val="left"/>
              <w:rPr/>
            </w:pPr>
            <w:r>
              <w:rPr/>
              <w:t> </w:t>
            </w:r>
          </w:p>
        </w:tc>
      </w:tr>
      <w:tr>
        <w:trPr/>
        <w:tc>
          <w:tcPr>
            <w:tcW w:w="4328" w:type="dxa"/>
            <w:tcBorders/>
          </w:tcPr>
          <w:p>
            <w:pPr>
              <w:pStyle w:val="TableContents"/>
              <w:bidi w:val="0"/>
              <w:spacing w:before="0" w:after="0"/>
              <w:jc w:val="left"/>
              <w:rPr>
                <w:rFonts w:ascii="Times New Roman" w:hAnsi="Times New Roman"/>
                <w:sz w:val="20"/>
              </w:rPr>
            </w:pPr>
            <w:r>
              <w:rPr>
                <w:rFonts w:ascii="Times New Roman" w:hAnsi="Times New Roman"/>
                <w:sz w:val="20"/>
              </w:rPr>
              <w:t>Tax credits, U.S. States</w:t>
            </w:r>
          </w:p>
        </w:tc>
        <w:tc>
          <w:tcPr>
            <w:tcW w:w="29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81" w:type="dxa"/>
            <w:tcBorders/>
            <w:vAlign w:val="bottom"/>
          </w:tcPr>
          <w:p>
            <w:pPr>
              <w:pStyle w:val="TableContents"/>
              <w:bidi w:val="0"/>
              <w:spacing w:before="0" w:after="283"/>
              <w:jc w:val="right"/>
              <w:rPr/>
            </w:pPr>
            <w:r>
              <w:rPr/>
              <w:t>1,335</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709" w:type="dxa"/>
            <w:tcBorders/>
            <w:vAlign w:val="bottom"/>
          </w:tcPr>
          <w:p>
            <w:pPr>
              <w:pStyle w:val="TableContents"/>
              <w:bidi w:val="0"/>
              <w:spacing w:before="0" w:after="283"/>
              <w:jc w:val="right"/>
              <w:rPr/>
            </w:pPr>
            <w:r>
              <w:rPr/>
              <w:t>Do not expire</w:t>
            </w:r>
          </w:p>
        </w:tc>
        <w:tc>
          <w:tcPr>
            <w:tcW w:w="66" w:type="dxa"/>
            <w:tcBorders/>
            <w:vAlign w:val="bottom"/>
          </w:tcPr>
          <w:p>
            <w:pPr>
              <w:pStyle w:val="TableContents"/>
              <w:bidi w:val="0"/>
              <w:spacing w:before="0" w:after="283"/>
              <w:jc w:val="left"/>
              <w:rPr/>
            </w:pPr>
            <w:r>
              <w:rPr/>
              <w:t> </w:t>
            </w:r>
          </w:p>
        </w:tc>
      </w:tr>
    </w:tbl>
    <w:p>
      <w:pPr>
        <w:pStyle w:val="TextBody"/>
        <w:bidi w:val="0"/>
        <w:spacing w:before="120" w:after="0"/>
        <w:jc w:val="both"/>
        <w:rPr>
          <w:rFonts w:ascii="Times New Roman" w:hAnsi="Times New Roman"/>
          <w:sz w:val="20"/>
        </w:rPr>
      </w:pPr>
      <w:r>
        <w:rPr>
          <w:rFonts w:ascii="Times New Roman" w:hAnsi="Times New Roman"/>
          <w:sz w:val="20"/>
        </w:rPr>
        <w:t xml:space="preserve">Utilization of some of the federal and state net operating loss and credit carryforwards may be subject to annual limitations due to the change in ownership provisions of the Internal Revenue Code of 1986, as amended (“I.R.C.”), and similar state provisions. The annual limitation may result in the expiration of net operating losses and credits before utilization. As of December 31, 2025, the Company has not yet performed an I.R.C. Section 382 study to determine whether it has experienced a change in ownership. As the Company has recorded a full valuation allowance, any potential limitation is not expected to have a material impact to the consolidated financial statements. On July 4, 2025, the United States enacted the One Big Beautiful Bill Act (“OBBBA”) which extended or modified certain corporate tax provisions under the 2017 Tax Cuts and Jobs Act (“TCJA”). The OBBBA modified certain business deductions, including allowing for immediate expensing of U.S. research &amp; development (“R&amp;D”) expenditures, effective for the year ended December 31, 2025. The OBBBA also modified various international tax provisions which were set to change or expire after 2025 under the TCJA. The enactment of the OBBBA did not have a material impact on the Company’s consolidated financial statements for the year ended December 31, 2025. </w:t>
      </w:r>
    </w:p>
    <w:p>
      <w:pPr>
        <w:pStyle w:val="TextBody"/>
        <w:bidi w:val="0"/>
        <w:spacing w:before="120" w:after="0"/>
        <w:jc w:val="both"/>
        <w:rPr>
          <w:rFonts w:ascii="Times New Roman" w:hAnsi="Times New Roman"/>
          <w:sz w:val="20"/>
        </w:rPr>
      </w:pPr>
      <w:r>
        <w:rPr>
          <w:rFonts w:ascii="Times New Roman" w:hAnsi="Times New Roman"/>
          <w:sz w:val="20"/>
        </w:rPr>
        <w:t xml:space="preserve">The amounts of cash income taxes paid by the Company for the years ended December 31, 2024 and 2025 were immaterial. </w:t>
      </w:r>
    </w:p>
    <w:p>
      <w:pPr>
        <w:pStyle w:val="TextBody"/>
        <w:bidi w:val="0"/>
        <w:spacing w:before="120" w:after="0"/>
        <w:jc w:val="left"/>
        <w:rPr>
          <w:rFonts w:ascii="Times New Roman" w:hAnsi="Times New Roman"/>
          <w:b/>
          <w:i/>
          <w:sz w:val="20"/>
        </w:rPr>
      </w:pPr>
      <w:r>
        <w:rPr>
          <w:rFonts w:ascii="Times New Roman" w:hAnsi="Times New Roman"/>
          <w:b/>
          <w:i/>
          <w:sz w:val="20"/>
        </w:rPr>
        <w:t>Uncertain Tax Positions</w:t>
      </w:r>
    </w:p>
    <w:p>
      <w:pPr>
        <w:pStyle w:val="TextBody"/>
        <w:bidi w:val="0"/>
        <w:spacing w:before="120" w:after="0"/>
        <w:jc w:val="both"/>
        <w:rPr>
          <w:rFonts w:ascii="Times New Roman" w:hAnsi="Times New Roman"/>
          <w:sz w:val="20"/>
        </w:rPr>
      </w:pPr>
      <w:r>
        <w:rPr>
          <w:rFonts w:ascii="Times New Roman" w:hAnsi="Times New Roman"/>
          <w:sz w:val="20"/>
        </w:rPr>
        <w:t xml:space="preserve">A reconciliation of the beginning and ending balances of the unrecognized tax benefits for the years ended December 31, 2024 and 2025 was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961"/>
        <w:gridCol w:w="686"/>
        <w:gridCol w:w="146"/>
        <w:gridCol w:w="422"/>
        <w:gridCol w:w="62"/>
        <w:gridCol w:w="690"/>
        <w:gridCol w:w="146"/>
        <w:gridCol w:w="484"/>
        <w:gridCol w:w="158"/>
      </w:tblGrid>
      <w:tr>
        <w:trPr/>
        <w:tc>
          <w:tcPr>
            <w:tcW w:w="4961" w:type="dxa"/>
            <w:tcBorders/>
            <w:vAlign w:val="center"/>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690"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61"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left"/>
              <w:rPr/>
            </w:pPr>
            <w:r>
              <w:rPr/>
              <w:t>  </w:t>
            </w:r>
          </w:p>
        </w:tc>
        <w:tc>
          <w:tcPr>
            <w:tcW w:w="1950"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p>
        </w:tc>
        <w:tc>
          <w:tcPr>
            <w:tcW w:w="158" w:type="dxa"/>
            <w:tcBorders/>
            <w:vAlign w:val="bottom"/>
          </w:tcPr>
          <w:p>
            <w:pPr>
              <w:pStyle w:val="TableContents"/>
              <w:bidi w:val="0"/>
              <w:spacing w:before="0" w:after="283"/>
              <w:jc w:val="left"/>
              <w:rPr/>
            </w:pPr>
            <w:r>
              <w:rPr/>
              <w:t> </w:t>
            </w:r>
          </w:p>
        </w:tc>
      </w:tr>
      <w:tr>
        <w:trPr/>
        <w:tc>
          <w:tcPr>
            <w:tcW w:w="4961"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left"/>
              <w:rPr/>
            </w:pPr>
            <w:r>
              <w:rPr/>
              <w:t>  </w:t>
            </w:r>
          </w:p>
        </w:tc>
        <w:tc>
          <w:tcPr>
            <w:tcW w:w="5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2"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left"/>
              <w:rPr/>
            </w:pPr>
            <w:r>
              <w:rPr/>
              <w:t>  </w:t>
            </w:r>
          </w:p>
        </w:tc>
        <w:tc>
          <w:tcPr>
            <w:tcW w:w="6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4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6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422" w:type="dxa"/>
            <w:tcBorders/>
            <w:shd w:fill="CCEEFF" w:val="clear"/>
            <w:vAlign w:val="bottom"/>
          </w:tcPr>
          <w:p>
            <w:pPr>
              <w:pStyle w:val="TableContents"/>
              <w:bidi w:val="0"/>
              <w:spacing w:before="0" w:after="283"/>
              <w:jc w:val="right"/>
              <w:rPr/>
            </w:pPr>
            <w:r>
              <w:rPr/>
              <w:t>57</w:t>
            </w:r>
          </w:p>
        </w:tc>
        <w:tc>
          <w:tcPr>
            <w:tcW w:w="62"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484" w:type="dxa"/>
            <w:tcBorders/>
            <w:shd w:fill="CCEEFF" w:val="clear"/>
            <w:vAlign w:val="bottom"/>
          </w:tcPr>
          <w:p>
            <w:pPr>
              <w:pStyle w:val="TableContents"/>
              <w:bidi w:val="0"/>
              <w:spacing w:before="0" w:after="283"/>
              <w:jc w:val="right"/>
              <w:rPr/>
            </w:pPr>
            <w:r>
              <w:rPr/>
              <w:t>639</w:t>
            </w:r>
          </w:p>
        </w:tc>
        <w:tc>
          <w:tcPr>
            <w:tcW w:w="158" w:type="dxa"/>
            <w:tcBorders/>
            <w:shd w:fill="CCEEFF" w:val="clear"/>
            <w:vAlign w:val="bottom"/>
          </w:tcPr>
          <w:p>
            <w:pPr>
              <w:pStyle w:val="TableContents"/>
              <w:bidi w:val="0"/>
              <w:spacing w:before="0" w:after="283"/>
              <w:jc w:val="left"/>
              <w:rPr/>
            </w:pPr>
            <w:r>
              <w:rPr/>
              <w:t> </w:t>
            </w:r>
          </w:p>
        </w:tc>
      </w:tr>
      <w:tr>
        <w:trPr/>
        <w:tc>
          <w:tcPr>
            <w:tcW w:w="4961" w:type="dxa"/>
            <w:tcBorders/>
          </w:tcPr>
          <w:p>
            <w:pPr>
              <w:pStyle w:val="TableContents"/>
              <w:bidi w:val="0"/>
              <w:spacing w:before="0" w:after="0"/>
              <w:jc w:val="left"/>
              <w:rPr>
                <w:rFonts w:ascii="Times New Roman" w:hAnsi="Times New Roman"/>
                <w:sz w:val="20"/>
              </w:rPr>
            </w:pPr>
            <w:r>
              <w:rPr>
                <w:rFonts w:ascii="Times New Roman" w:hAnsi="Times New Roman"/>
                <w:sz w:val="20"/>
              </w:rPr>
              <w:t>Increase in tax positions in the current year</w:t>
            </w:r>
          </w:p>
        </w:tc>
        <w:tc>
          <w:tcPr>
            <w:tcW w:w="6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582</w:t>
            </w:r>
          </w:p>
        </w:tc>
        <w:tc>
          <w:tcPr>
            <w:tcW w:w="62"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575</w:t>
            </w:r>
          </w:p>
        </w:tc>
        <w:tc>
          <w:tcPr>
            <w:tcW w:w="158" w:type="dxa"/>
            <w:tcBorders/>
            <w:vAlign w:val="bottom"/>
          </w:tcPr>
          <w:p>
            <w:pPr>
              <w:pStyle w:val="TableContents"/>
              <w:bidi w:val="0"/>
              <w:spacing w:before="0" w:after="283"/>
              <w:jc w:val="left"/>
              <w:rPr/>
            </w:pPr>
            <w:r>
              <w:rPr/>
              <w:t> </w:t>
            </w:r>
          </w:p>
        </w:tc>
      </w:tr>
      <w:tr>
        <w:trPr/>
        <w:tc>
          <w:tcPr>
            <w:tcW w:w="4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Decreases related to prior year’s tax position</w:t>
            </w:r>
          </w:p>
        </w:tc>
        <w:tc>
          <w:tcPr>
            <w:tcW w:w="6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pPr>
            <w:r>
              <w:rPr/>
              <w:t>(495</w:t>
            </w:r>
          </w:p>
        </w:tc>
        <w:tc>
          <w:tcPr>
            <w:tcW w:w="158" w:type="dxa"/>
            <w:tcBorders/>
            <w:shd w:fill="CCEEFF" w:val="clear"/>
            <w:vAlign w:val="bottom"/>
          </w:tcPr>
          <w:p>
            <w:pPr>
              <w:pStyle w:val="TableContents"/>
              <w:bidi w:val="0"/>
              <w:spacing w:before="0" w:after="283"/>
              <w:jc w:val="left"/>
              <w:rPr/>
            </w:pPr>
            <w:r>
              <w:rPr/>
              <w:t>) </w:t>
            </w:r>
          </w:p>
        </w:tc>
      </w:tr>
      <w:tr>
        <w:trPr/>
        <w:tc>
          <w:tcPr>
            <w:tcW w:w="4961" w:type="dxa"/>
            <w:tcBorders/>
            <w:vAlign w:val="bottom"/>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422"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c>
          <w:tcPr>
            <w:tcW w:w="69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48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961" w:type="dxa"/>
            <w:tcBorders/>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6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422" w:type="dxa"/>
            <w:tcBorders/>
            <w:vAlign w:val="bottom"/>
          </w:tcPr>
          <w:p>
            <w:pPr>
              <w:pStyle w:val="TableContents"/>
              <w:bidi w:val="0"/>
              <w:spacing w:before="0" w:after="283"/>
              <w:jc w:val="right"/>
              <w:rPr/>
            </w:pPr>
            <w:r>
              <w:rPr/>
              <w:t>639</w:t>
            </w:r>
          </w:p>
        </w:tc>
        <w:tc>
          <w:tcPr>
            <w:tcW w:w="62"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484" w:type="dxa"/>
            <w:tcBorders/>
            <w:vAlign w:val="bottom"/>
          </w:tcPr>
          <w:p>
            <w:pPr>
              <w:pStyle w:val="TableContents"/>
              <w:bidi w:val="0"/>
              <w:spacing w:before="0" w:after="283"/>
              <w:jc w:val="right"/>
              <w:rPr/>
            </w:pPr>
            <w:r>
              <w:rPr/>
              <w:t>719</w:t>
            </w:r>
          </w:p>
        </w:tc>
        <w:tc>
          <w:tcPr>
            <w:tcW w:w="158" w:type="dxa"/>
            <w:tcBorders/>
            <w:vAlign w:val="bottom"/>
          </w:tcPr>
          <w:p>
            <w:pPr>
              <w:pStyle w:val="TableContents"/>
              <w:bidi w:val="0"/>
              <w:spacing w:before="0" w:after="283"/>
              <w:jc w:val="left"/>
              <w:rPr/>
            </w:pPr>
            <w:r>
              <w:rPr/>
              <w:t> </w:t>
            </w:r>
          </w:p>
        </w:tc>
      </w:tr>
      <w:tr>
        <w:trPr/>
        <w:tc>
          <w:tcPr>
            <w:tcW w:w="4961" w:type="dxa"/>
            <w:tcBorders/>
            <w:vAlign w:val="bottom"/>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422"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c>
          <w:tcPr>
            <w:tcW w:w="69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48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entire amount of the unrecognized tax benefits would not impact the Company’s effective tax rate if recognized due to its full valuation allowance. For the year ended December 31, 2025, the Company did not recognize accrued interest and penalties related to unrecognized tax benefits. </w:t>
      </w:r>
    </w:p>
    <w:p>
      <w:pPr>
        <w:pStyle w:val="TextBody"/>
        <w:bidi w:val="0"/>
        <w:spacing w:before="120" w:after="0"/>
        <w:jc w:val="both"/>
        <w:rPr>
          <w:rFonts w:ascii="Times New Roman" w:hAnsi="Times New Roman"/>
          <w:sz w:val="20"/>
        </w:rPr>
      </w:pPr>
      <w:r>
        <w:rPr>
          <w:rFonts w:ascii="Times New Roman" w:hAnsi="Times New Roman"/>
          <w:sz w:val="20"/>
        </w:rPr>
        <w:t xml:space="preserve">As of December 31, 2025, the Company was not under audit by the Internal Revenue Service or any state authority for income taxes for any open years. The Company’s domestic income tax returns are open to examination by the Internal Revenue Service and by state taxing authorities beginning with tax year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Alamar License Agreement </w:t>
      </w:r>
    </w:p>
    <w:p>
      <w:pPr>
        <w:pStyle w:val="TextBody"/>
        <w:bidi w:val="0"/>
        <w:spacing w:before="120" w:after="0"/>
        <w:jc w:val="both"/>
        <w:rPr>
          <w:rFonts w:ascii="Times New Roman" w:hAnsi="Times New Roman"/>
          <w:sz w:val="20"/>
        </w:rPr>
      </w:pPr>
      <w:r>
        <w:rPr>
          <w:rFonts w:ascii="Times New Roman" w:hAnsi="Times New Roman"/>
          <w:sz w:val="20"/>
        </w:rPr>
        <w:t xml:space="preserve">In June 2023, the Company issued 2,428,646 shares of its common stock to Alamar, an existing holder of the Company’s common stock, in exchange for the in-process research and development asset acquired under the Alamar License Agreement (see Note 5). Alamar owned 800,632 shares of the Company’s common stock prior to this transaction, which was received by Alamar upon the Company’s incorporation in December 2022. </w:t>
      </w:r>
    </w:p>
    <w:p>
      <w:pPr>
        <w:pStyle w:val="TextBody"/>
        <w:bidi w:val="0"/>
        <w:spacing w:before="120" w:after="0"/>
        <w:jc w:val="left"/>
        <w:rPr>
          <w:rFonts w:ascii="Times New Roman" w:hAnsi="Times New Roman"/>
          <w:i/>
          <w:sz w:val="20"/>
        </w:rPr>
      </w:pPr>
      <w:r>
        <w:rPr>
          <w:rFonts w:ascii="Times New Roman" w:hAnsi="Times New Roman"/>
          <w:i/>
          <w:sz w:val="20"/>
        </w:rPr>
        <w:t xml:space="preserve">Alamar Lease Agreement </w:t>
      </w:r>
    </w:p>
    <w:p>
      <w:pPr>
        <w:pStyle w:val="TextBody"/>
        <w:bidi w:val="0"/>
        <w:spacing w:before="120" w:after="0"/>
        <w:jc w:val="both"/>
        <w:rPr>
          <w:rFonts w:ascii="Times New Roman" w:hAnsi="Times New Roman"/>
          <w:sz w:val="20"/>
        </w:rPr>
      </w:pPr>
      <w:r>
        <w:rPr>
          <w:rFonts w:ascii="Times New Roman" w:hAnsi="Times New Roman"/>
          <w:sz w:val="20"/>
        </w:rPr>
        <w:t xml:space="preserve">In June 2023, the Company entered into a lease agreement with Alamar, which was amended four times between October 2023 and October 2024, to lease approximately 10,422 square feet of office and laboratory spaces in Fremont, California. </w:t>
      </w:r>
    </w:p>
    <w:p>
      <w:pPr>
        <w:pStyle w:val="TextBody"/>
        <w:bidi w:val="0"/>
        <w:spacing w:before="120" w:after="0"/>
        <w:jc w:val="left"/>
        <w:rPr>
          <w:rFonts w:ascii="Times New Roman" w:hAnsi="Times New Roman"/>
          <w:i/>
          <w:sz w:val="20"/>
        </w:rPr>
      </w:pPr>
      <w:r>
        <w:rPr>
          <w:rFonts w:ascii="Times New Roman" w:hAnsi="Times New Roman"/>
          <w:i/>
          <w:sz w:val="20"/>
        </w:rPr>
        <w:t xml:space="preserve">Other Services Agreements </w:t>
      </w:r>
    </w:p>
    <w:p>
      <w:pPr>
        <w:pStyle w:val="TextBody"/>
        <w:bidi w:val="0"/>
        <w:spacing w:before="120" w:after="0"/>
        <w:jc w:val="both"/>
        <w:rPr>
          <w:rFonts w:ascii="Times New Roman" w:hAnsi="Times New Roman"/>
          <w:sz w:val="20"/>
        </w:rPr>
      </w:pPr>
      <w:r>
        <w:rPr>
          <w:rFonts w:ascii="Times New Roman" w:hAnsi="Times New Roman"/>
          <w:sz w:val="20"/>
        </w:rPr>
        <w:t xml:space="preserve">In June 2023, the Company entered into a Services Agreement (the “Services Agreement”) with Alamar, under which Alamar will provide initial clerical, executive, and administrative services. In February 2024, the Company entered into a research services agreement (together with the Services Agreement, the “Services Agreements”) for Alamar to provide certain research diagnostic services. Under both Services Agreements, the Company paid $0.2 million and $0.2 million to Alamar during the years ended December 31, 2024 and 2025, and had a prepaid balance of less than $0.1 million as of December 31, 2024. There was no prepaid balance related to the Services Agreement as of December 31,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Net Loss Per Share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following table sets forth the computation of basic and diluted net loss per share attributable to common stockholders (in thousands, except share and per share data):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5366"/>
        <w:gridCol w:w="374"/>
        <w:gridCol w:w="140"/>
        <w:gridCol w:w="983"/>
        <w:gridCol w:w="155"/>
        <w:gridCol w:w="374"/>
        <w:gridCol w:w="140"/>
        <w:gridCol w:w="983"/>
        <w:gridCol w:w="159"/>
      </w:tblGrid>
      <w:tr>
        <w:trPr/>
        <w:tc>
          <w:tcPr>
            <w:tcW w:w="5366" w:type="dxa"/>
            <w:tcBorders/>
            <w:vAlign w:val="center"/>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366"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277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5366"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1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1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5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3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366"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3" w:type="dxa"/>
            <w:tcBorders/>
            <w:vAlign w:val="bottom"/>
          </w:tcPr>
          <w:p>
            <w:pPr>
              <w:pStyle w:val="TableContents"/>
              <w:bidi w:val="0"/>
              <w:spacing w:before="0" w:after="283"/>
              <w:jc w:val="right"/>
              <w:rPr/>
            </w:pPr>
            <w:r>
              <w:rPr/>
              <w:t>(39,801)</w:t>
            </w:r>
          </w:p>
        </w:tc>
        <w:tc>
          <w:tcPr>
            <w:tcW w:w="155"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3" w:type="dxa"/>
            <w:tcBorders/>
            <w:vAlign w:val="bottom"/>
          </w:tcPr>
          <w:p>
            <w:pPr>
              <w:pStyle w:val="TableContents"/>
              <w:bidi w:val="0"/>
              <w:spacing w:before="0" w:after="283"/>
              <w:jc w:val="right"/>
              <w:rPr/>
            </w:pPr>
            <w:r>
              <w:rPr/>
              <w:t>(60,627)</w:t>
            </w:r>
          </w:p>
        </w:tc>
        <w:tc>
          <w:tcPr>
            <w:tcW w:w="159" w:type="dxa"/>
            <w:tcBorders/>
            <w:vAlign w:val="bottom"/>
          </w:tcPr>
          <w:p>
            <w:pPr>
              <w:pStyle w:val="TableContents"/>
              <w:bidi w:val="0"/>
              <w:spacing w:before="0" w:after="283"/>
              <w:jc w:val="left"/>
              <w:rPr/>
            </w:pPr>
            <w:r>
              <w:rPr/>
              <w:t> </w:t>
            </w:r>
          </w:p>
        </w:tc>
      </w:tr>
      <w:tr>
        <w:trPr/>
        <w:tc>
          <w:tcPr>
            <w:tcW w:w="5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Accretion of redeemable convertible preferred stock to its redemption value</w:t>
            </w:r>
          </w:p>
        </w:tc>
        <w:tc>
          <w:tcPr>
            <w:tcW w:w="3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(5,245</w:t>
            </w:r>
          </w:p>
        </w:tc>
        <w:tc>
          <w:tcPr>
            <w:tcW w:w="155"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(271</w:t>
            </w:r>
          </w:p>
        </w:tc>
        <w:tc>
          <w:tcPr>
            <w:tcW w:w="159" w:type="dxa"/>
            <w:tcBorders/>
            <w:shd w:fill="CCEEFF" w:val="clear"/>
            <w:vAlign w:val="bottom"/>
          </w:tcPr>
          <w:p>
            <w:pPr>
              <w:pStyle w:val="TableContents"/>
              <w:bidi w:val="0"/>
              <w:spacing w:before="0" w:after="283"/>
              <w:jc w:val="left"/>
              <w:rPr/>
            </w:pPr>
            <w:r>
              <w:rPr/>
              <w:t>) </w:t>
            </w:r>
          </w:p>
        </w:tc>
      </w:tr>
      <w:tr>
        <w:trPr/>
        <w:tc>
          <w:tcPr>
            <w:tcW w:w="5366" w:type="dxa"/>
            <w:tcBorders/>
            <w:vAlign w:val="bottom"/>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366"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(45,046</w:t>
            </w:r>
          </w:p>
        </w:tc>
        <w:tc>
          <w:tcPr>
            <w:tcW w:w="155"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(60,898</w:t>
            </w:r>
          </w:p>
        </w:tc>
        <w:tc>
          <w:tcPr>
            <w:tcW w:w="159" w:type="dxa"/>
            <w:tcBorders/>
            <w:vAlign w:val="bottom"/>
          </w:tcPr>
          <w:p>
            <w:pPr>
              <w:pStyle w:val="TableContents"/>
              <w:bidi w:val="0"/>
              <w:spacing w:before="0" w:after="283"/>
              <w:jc w:val="left"/>
              <w:rPr/>
            </w:pPr>
            <w:r>
              <w:rPr/>
              <w:t>) </w:t>
            </w:r>
          </w:p>
        </w:tc>
      </w:tr>
      <w:tr>
        <w:trPr/>
        <w:tc>
          <w:tcPr>
            <w:tcW w:w="5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3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366"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w:t>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4,346,999</w:t>
            </w:r>
          </w:p>
        </w:tc>
        <w:tc>
          <w:tcPr>
            <w:tcW w:w="155"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4,471,961</w:t>
            </w:r>
          </w:p>
        </w:tc>
        <w:tc>
          <w:tcPr>
            <w:tcW w:w="159" w:type="dxa"/>
            <w:tcBorders/>
            <w:vAlign w:val="bottom"/>
          </w:tcPr>
          <w:p>
            <w:pPr>
              <w:pStyle w:val="TableContents"/>
              <w:bidi w:val="0"/>
              <w:spacing w:before="0" w:after="283"/>
              <w:jc w:val="left"/>
              <w:rPr/>
            </w:pPr>
            <w:r>
              <w:rPr/>
              <w:t> </w:t>
            </w:r>
          </w:p>
        </w:tc>
      </w:tr>
      <w:tr>
        <w:trPr/>
        <w:tc>
          <w:tcPr>
            <w:tcW w:w="5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Weighted average common shares subject to repurchase</w:t>
            </w:r>
          </w:p>
        </w:tc>
        <w:tc>
          <w:tcPr>
            <w:tcW w:w="3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(815,609</w:t>
            </w:r>
          </w:p>
        </w:tc>
        <w:tc>
          <w:tcPr>
            <w:tcW w:w="155"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(522,523</w:t>
            </w:r>
          </w:p>
        </w:tc>
        <w:tc>
          <w:tcPr>
            <w:tcW w:w="159" w:type="dxa"/>
            <w:tcBorders/>
            <w:shd w:fill="CCEEFF" w:val="clear"/>
            <w:vAlign w:val="bottom"/>
          </w:tcPr>
          <w:p>
            <w:pPr>
              <w:pStyle w:val="TableContents"/>
              <w:bidi w:val="0"/>
              <w:spacing w:before="0" w:after="283"/>
              <w:jc w:val="left"/>
              <w:rPr/>
            </w:pPr>
            <w:r>
              <w:rPr/>
              <w:t>) </w:t>
            </w:r>
          </w:p>
        </w:tc>
      </w:tr>
      <w:tr>
        <w:trPr/>
        <w:tc>
          <w:tcPr>
            <w:tcW w:w="5366" w:type="dxa"/>
            <w:tcBorders/>
            <w:vAlign w:val="bottom"/>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366"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shares used in computing basic and diluted net loss per share</w:t>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3,531,390</w:t>
            </w:r>
          </w:p>
        </w:tc>
        <w:tc>
          <w:tcPr>
            <w:tcW w:w="155"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3,949,438</w:t>
            </w:r>
          </w:p>
        </w:tc>
        <w:tc>
          <w:tcPr>
            <w:tcW w:w="159" w:type="dxa"/>
            <w:tcBorders/>
            <w:vAlign w:val="bottom"/>
          </w:tcPr>
          <w:p>
            <w:pPr>
              <w:pStyle w:val="TableContents"/>
              <w:bidi w:val="0"/>
              <w:spacing w:before="0" w:after="283"/>
              <w:jc w:val="left"/>
              <w:rPr/>
            </w:pPr>
            <w:r>
              <w:rPr/>
              <w:t> </w:t>
            </w:r>
          </w:p>
        </w:tc>
      </w:tr>
      <w:tr>
        <w:trPr/>
        <w:tc>
          <w:tcPr>
            <w:tcW w:w="5366" w:type="dxa"/>
            <w:tcBorders/>
            <w:vAlign w:val="bottom"/>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3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(12.76)</w:t>
            </w:r>
          </w:p>
        </w:tc>
        <w:tc>
          <w:tcPr>
            <w:tcW w:w="155"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(15.42)</w:t>
            </w:r>
          </w:p>
        </w:tc>
        <w:tc>
          <w:tcPr>
            <w:tcW w:w="159" w:type="dxa"/>
            <w:tcBorders/>
            <w:shd w:fill="CCEEFF" w:val="clear"/>
            <w:vAlign w:val="bottom"/>
          </w:tcPr>
          <w:p>
            <w:pPr>
              <w:pStyle w:val="TableContents"/>
              <w:bidi w:val="0"/>
              <w:spacing w:before="0" w:after="283"/>
              <w:jc w:val="left"/>
              <w:rPr/>
            </w:pPr>
            <w:r>
              <w:rPr/>
              <w:t> </w:t>
            </w:r>
          </w:p>
        </w:tc>
      </w:tr>
      <w:tr>
        <w:trPr/>
        <w:tc>
          <w:tcPr>
            <w:tcW w:w="5366" w:type="dxa"/>
            <w:tcBorders/>
            <w:vAlign w:val="bottom"/>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following outstanding shares of potentially dilutive securities were excluded from the computation of diluted net loss per share attributable to common stockholders for the periods presented because including them would have been antidilutive: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5829"/>
        <w:gridCol w:w="195"/>
        <w:gridCol w:w="60"/>
        <w:gridCol w:w="1106"/>
        <w:gridCol w:w="60"/>
        <w:gridCol w:w="195"/>
        <w:gridCol w:w="60"/>
        <w:gridCol w:w="1106"/>
        <w:gridCol w:w="63"/>
      </w:tblGrid>
      <w:tr>
        <w:trPr/>
        <w:tc>
          <w:tcPr>
            <w:tcW w:w="5829"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82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58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3" w:type="dxa"/>
            <w:tcBorders/>
            <w:vAlign w:val="bottom"/>
          </w:tcPr>
          <w:p>
            <w:pPr>
              <w:pStyle w:val="TableContents"/>
              <w:bidi w:val="0"/>
              <w:spacing w:before="0" w:after="283"/>
              <w:jc w:val="left"/>
              <w:rPr/>
            </w:pPr>
            <w:r>
              <w:rPr/>
              <w:t> </w:t>
            </w:r>
          </w:p>
        </w:tc>
      </w:tr>
      <w:tr>
        <w:trPr/>
        <w:tc>
          <w:tcPr>
            <w:tcW w:w="582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3" w:type="dxa"/>
            <w:tcBorders/>
            <w:vAlign w:val="bottom"/>
          </w:tcPr>
          <w:p>
            <w:pPr>
              <w:pStyle w:val="TableContents"/>
              <w:bidi w:val="0"/>
              <w:spacing w:before="0" w:after="283"/>
              <w:jc w:val="left"/>
              <w:rPr/>
            </w:pPr>
            <w:r>
              <w:rPr/>
              <w:t> </w:t>
            </w:r>
          </w:p>
        </w:tc>
      </w:tr>
      <w:tr>
        <w:trPr/>
        <w:tc>
          <w:tcPr>
            <w:tcW w:w="58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10,362,304</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21,517,976</w:t>
            </w:r>
          </w:p>
        </w:tc>
        <w:tc>
          <w:tcPr>
            <w:tcW w:w="63" w:type="dxa"/>
            <w:tcBorders/>
            <w:shd w:fill="CCEEFF" w:val="clear"/>
            <w:vAlign w:val="bottom"/>
          </w:tcPr>
          <w:p>
            <w:pPr>
              <w:pStyle w:val="TableContents"/>
              <w:bidi w:val="0"/>
              <w:spacing w:before="0" w:after="283"/>
              <w:jc w:val="left"/>
              <w:rPr/>
            </w:pPr>
            <w:r>
              <w:rPr/>
              <w:t> </w:t>
            </w:r>
          </w:p>
        </w:tc>
      </w:tr>
      <w:tr>
        <w:trPr/>
        <w:tc>
          <w:tcPr>
            <w:tcW w:w="5829" w:type="dxa"/>
            <w:tcBorders/>
          </w:tcPr>
          <w:p>
            <w:pPr>
              <w:pStyle w:val="TableContents"/>
              <w:bidi w:val="0"/>
              <w:spacing w:before="0" w:after="0"/>
              <w:jc w:val="left"/>
              <w:rPr>
                <w:rFonts w:ascii="Times New Roman" w:hAnsi="Times New Roman"/>
                <w:sz w:val="20"/>
              </w:rPr>
            </w:pPr>
            <w:r>
              <w:rPr>
                <w:rFonts w:ascii="Times New Roman" w:hAnsi="Times New Roman"/>
                <w:sz w:val="20"/>
              </w:rPr>
              <w:t>Options to purchase common stock</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1,717,256</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2,642,930</w:t>
            </w:r>
          </w:p>
        </w:tc>
        <w:tc>
          <w:tcPr>
            <w:tcW w:w="63" w:type="dxa"/>
            <w:tcBorders/>
            <w:vAlign w:val="bottom"/>
          </w:tcPr>
          <w:p>
            <w:pPr>
              <w:pStyle w:val="TableContents"/>
              <w:bidi w:val="0"/>
              <w:spacing w:before="0" w:after="283"/>
              <w:jc w:val="left"/>
              <w:rPr/>
            </w:pPr>
            <w:r>
              <w:rPr/>
              <w:t> </w:t>
            </w:r>
          </w:p>
        </w:tc>
      </w:tr>
      <w:tr>
        <w:trPr/>
        <w:tc>
          <w:tcPr>
            <w:tcW w:w="58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restricted stock awards</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583,950</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333,678</w:t>
            </w:r>
          </w:p>
        </w:tc>
        <w:tc>
          <w:tcPr>
            <w:tcW w:w="63" w:type="dxa"/>
            <w:tcBorders/>
            <w:shd w:fill="CCEEFF" w:val="clear"/>
            <w:vAlign w:val="bottom"/>
          </w:tcPr>
          <w:p>
            <w:pPr>
              <w:pStyle w:val="TableContents"/>
              <w:bidi w:val="0"/>
              <w:spacing w:before="0" w:after="283"/>
              <w:jc w:val="left"/>
              <w:rPr/>
            </w:pPr>
            <w:r>
              <w:rPr/>
              <w:t> </w:t>
            </w:r>
          </w:p>
        </w:tc>
      </w:tr>
      <w:tr>
        <w:trPr/>
        <w:tc>
          <w:tcPr>
            <w:tcW w:w="5829" w:type="dxa"/>
            <w:tcBorders/>
          </w:tcPr>
          <w:p>
            <w:pPr>
              <w:pStyle w:val="TableContents"/>
              <w:bidi w:val="0"/>
              <w:spacing w:before="0" w:after="0"/>
              <w:jc w:val="left"/>
              <w:rPr>
                <w:rFonts w:ascii="Times New Roman" w:hAnsi="Times New Roman"/>
                <w:sz w:val="20"/>
              </w:rPr>
            </w:pPr>
            <w:r>
              <w:rPr>
                <w:rFonts w:ascii="Times New Roman" w:hAnsi="Times New Roman"/>
                <w:sz w:val="20"/>
              </w:rPr>
              <w:t>Unvested early exercised common stock options</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68,639</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44,563</w:t>
            </w:r>
          </w:p>
        </w:tc>
        <w:tc>
          <w:tcPr>
            <w:tcW w:w="63" w:type="dxa"/>
            <w:tcBorders/>
            <w:vAlign w:val="bottom"/>
          </w:tcPr>
          <w:p>
            <w:pPr>
              <w:pStyle w:val="TableContents"/>
              <w:bidi w:val="0"/>
              <w:spacing w:before="0" w:after="283"/>
              <w:jc w:val="left"/>
              <w:rPr/>
            </w:pPr>
            <w:r>
              <w:rPr/>
              <w:t> </w:t>
            </w:r>
          </w:p>
        </w:tc>
      </w:tr>
      <w:tr>
        <w:trPr/>
        <w:tc>
          <w:tcPr>
            <w:tcW w:w="5829"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8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12,732,149</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24,539,147</w:t>
            </w:r>
          </w:p>
        </w:tc>
        <w:tc>
          <w:tcPr>
            <w:tcW w:w="63" w:type="dxa"/>
            <w:tcBorders/>
            <w:shd w:fill="CCEEFF" w:val="clear"/>
            <w:vAlign w:val="bottom"/>
          </w:tcPr>
          <w:p>
            <w:pPr>
              <w:pStyle w:val="TableContents"/>
              <w:bidi w:val="0"/>
              <w:spacing w:before="0" w:after="283"/>
              <w:jc w:val="left"/>
              <w:rPr/>
            </w:pPr>
            <w:r>
              <w:rPr/>
              <w:t> </w:t>
            </w:r>
          </w:p>
        </w:tc>
      </w:tr>
      <w:tr>
        <w:trPr/>
        <w:tc>
          <w:tcPr>
            <w:tcW w:w="5829"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14.</w:t>
            </w:r>
          </w:p>
        </w:tc>
        <w:tc>
          <w:tcPr>
            <w:tcW w:w="9797"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Employee Benefit Plans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Company sponsors a qualified 401(k) defined contribution plan covering eligible employees. Participants may contribute a portion of their annual compensation limited to a maximum annual amount set by the Internal Revenue Service. The Company’s contributions to the 401(k) Plan were $0.1 million and $0.2 million for the years ended December 31, 2024 and 2025,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15.</w:t>
            </w:r>
          </w:p>
        </w:tc>
        <w:tc>
          <w:tcPr>
            <w:tcW w:w="9797"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Segment Reporting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CODM uses net loss to measure segment loss and assesses performance against expectations to make resource allocation decisions. In making this assessment, the CODM reviews and evaluates net loss to monitor budget versus actual results and to analyze cash flows for purposes of allocating resources and assessing financial performance. Additionally, the CODM reviews and uses significant expense categories included within net loss as well as the disaggregated amounts within research and development expenses and general and administrative expenses indicated in the table below to manage the Company’s operations. The measure of segment assets is reported on the consolidated balance sheets as total assets. </w:t>
      </w:r>
    </w:p>
    <w:p>
      <w:pPr>
        <w:pStyle w:val="TextBody"/>
        <w:bidi w:val="0"/>
        <w:spacing w:before="120" w:after="0"/>
        <w:jc w:val="both"/>
        <w:rPr>
          <w:rFonts w:ascii="Times New Roman" w:hAnsi="Times New Roman"/>
          <w:sz w:val="20"/>
        </w:rPr>
      </w:pPr>
      <w:r>
        <w:rPr>
          <w:rFonts w:ascii="Times New Roman" w:hAnsi="Times New Roman"/>
          <w:sz w:val="20"/>
        </w:rPr>
        <w:t xml:space="preserve">In addition to the significant expense categories included within net loss presented on the Company’s consolidated statements of operations and comprehensive loss, the following table provides disaggregated amounts that comprised research and development expenses (in thousands):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5242"/>
        <w:gridCol w:w="419"/>
        <w:gridCol w:w="204"/>
        <w:gridCol w:w="995"/>
        <w:gridCol w:w="87"/>
        <w:gridCol w:w="462"/>
        <w:gridCol w:w="204"/>
        <w:gridCol w:w="998"/>
        <w:gridCol w:w="63"/>
      </w:tblGrid>
      <w:tr>
        <w:trPr/>
        <w:tc>
          <w:tcPr>
            <w:tcW w:w="5242" w:type="dxa"/>
            <w:tcBorders/>
            <w:vAlign w:val="center"/>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242"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29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3" w:type="dxa"/>
            <w:tcBorders/>
            <w:vAlign w:val="bottom"/>
          </w:tcPr>
          <w:p>
            <w:pPr>
              <w:pStyle w:val="TableContents"/>
              <w:bidi w:val="0"/>
              <w:spacing w:before="0" w:after="283"/>
              <w:jc w:val="left"/>
              <w:rPr/>
            </w:pPr>
            <w:r>
              <w:rPr/>
              <w:t> </w:t>
            </w:r>
          </w:p>
        </w:tc>
      </w:tr>
      <w:tr>
        <w:trPr/>
        <w:tc>
          <w:tcPr>
            <w:tcW w:w="5242"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1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87"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12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3" w:type="dxa"/>
            <w:tcBorders/>
            <w:vAlign w:val="bottom"/>
          </w:tcPr>
          <w:p>
            <w:pPr>
              <w:pStyle w:val="TableContents"/>
              <w:bidi w:val="0"/>
              <w:spacing w:before="0" w:after="283"/>
              <w:jc w:val="left"/>
              <w:rPr/>
            </w:pPr>
            <w:r>
              <w:rPr/>
              <w:t> </w:t>
            </w:r>
          </w:p>
        </w:tc>
      </w:tr>
      <w:tr>
        <w:trPr/>
        <w:tc>
          <w:tcPr>
            <w:tcW w:w="52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costs</w:t>
            </w:r>
          </w:p>
        </w:tc>
        <w:tc>
          <w:tcPr>
            <w:tcW w:w="41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46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242" w:type="dxa"/>
            <w:tcBorders/>
          </w:tcPr>
          <w:p>
            <w:pPr>
              <w:pStyle w:val="TableContents"/>
              <w:bidi w:val="0"/>
              <w:spacing w:before="0" w:after="0"/>
              <w:jc w:val="left"/>
              <w:rPr>
                <w:rFonts w:ascii="Times New Roman" w:hAnsi="Times New Roman"/>
                <w:sz w:val="20"/>
              </w:rPr>
            </w:pPr>
            <w:r>
              <w:rPr>
                <w:rFonts w:ascii="Times New Roman" w:hAnsi="Times New Roman"/>
                <w:sz w:val="20"/>
              </w:rPr>
              <w:t>Clinical, manufacturing, and preclinical services</w:t>
            </w:r>
          </w:p>
        </w:tc>
        <w:tc>
          <w:tcPr>
            <w:tcW w:w="41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995" w:type="dxa"/>
            <w:tcBorders/>
            <w:vAlign w:val="bottom"/>
          </w:tcPr>
          <w:p>
            <w:pPr>
              <w:pStyle w:val="TableContents"/>
              <w:bidi w:val="0"/>
              <w:spacing w:before="0" w:after="283"/>
              <w:jc w:val="right"/>
              <w:rPr/>
            </w:pPr>
            <w:r>
              <w:rPr/>
              <w:t>21,375</w:t>
            </w:r>
          </w:p>
        </w:tc>
        <w:tc>
          <w:tcPr>
            <w:tcW w:w="87"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998" w:type="dxa"/>
            <w:tcBorders/>
            <w:vAlign w:val="bottom"/>
          </w:tcPr>
          <w:p>
            <w:pPr>
              <w:pStyle w:val="TableContents"/>
              <w:bidi w:val="0"/>
              <w:spacing w:before="0" w:after="283"/>
              <w:jc w:val="right"/>
              <w:rPr/>
            </w:pPr>
            <w:r>
              <w:rPr/>
              <w:t>37,106</w:t>
            </w:r>
          </w:p>
        </w:tc>
        <w:tc>
          <w:tcPr>
            <w:tcW w:w="63" w:type="dxa"/>
            <w:tcBorders/>
            <w:vAlign w:val="bottom"/>
          </w:tcPr>
          <w:p>
            <w:pPr>
              <w:pStyle w:val="TableContents"/>
              <w:bidi w:val="0"/>
              <w:spacing w:before="0" w:after="283"/>
              <w:jc w:val="left"/>
              <w:rPr/>
            </w:pPr>
            <w:r>
              <w:rPr/>
              <w:t> </w:t>
            </w:r>
          </w:p>
        </w:tc>
      </w:tr>
      <w:tr>
        <w:trPr/>
        <w:tc>
          <w:tcPr>
            <w:tcW w:w="52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Professional consulting services</w:t>
            </w:r>
          </w:p>
        </w:tc>
        <w:tc>
          <w:tcPr>
            <w:tcW w:w="41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1,834</w:t>
            </w:r>
          </w:p>
        </w:tc>
        <w:tc>
          <w:tcPr>
            <w:tcW w:w="87"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2,417</w:t>
            </w:r>
          </w:p>
        </w:tc>
        <w:tc>
          <w:tcPr>
            <w:tcW w:w="63" w:type="dxa"/>
            <w:tcBorders/>
            <w:shd w:fill="CCEEFF" w:val="clear"/>
            <w:vAlign w:val="bottom"/>
          </w:tcPr>
          <w:p>
            <w:pPr>
              <w:pStyle w:val="TableContents"/>
              <w:bidi w:val="0"/>
              <w:spacing w:before="0" w:after="283"/>
              <w:jc w:val="left"/>
              <w:rPr/>
            </w:pPr>
            <w:r>
              <w:rPr/>
              <w:t> </w:t>
            </w:r>
          </w:p>
        </w:tc>
      </w:tr>
      <w:tr>
        <w:trPr/>
        <w:tc>
          <w:tcPr>
            <w:tcW w:w="5242" w:type="dxa"/>
            <w:tcBorders/>
          </w:tcPr>
          <w:p>
            <w:pPr>
              <w:pStyle w:val="TableContents"/>
              <w:bidi w:val="0"/>
              <w:spacing w:before="0" w:after="0"/>
              <w:jc w:val="left"/>
              <w:rPr>
                <w:rFonts w:ascii="Times New Roman" w:hAnsi="Times New Roman"/>
                <w:sz w:val="20"/>
              </w:rPr>
            </w:pPr>
            <w:r>
              <w:rPr>
                <w:rFonts w:ascii="Times New Roman" w:hAnsi="Times New Roman"/>
                <w:sz w:val="20"/>
              </w:rPr>
              <w:t>Consumables and other research and development costs</w:t>
            </w:r>
          </w:p>
        </w:tc>
        <w:tc>
          <w:tcPr>
            <w:tcW w:w="41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3,132</w:t>
            </w:r>
          </w:p>
        </w:tc>
        <w:tc>
          <w:tcPr>
            <w:tcW w:w="87"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3,122</w:t>
            </w:r>
          </w:p>
        </w:tc>
        <w:tc>
          <w:tcPr>
            <w:tcW w:w="63" w:type="dxa"/>
            <w:tcBorders/>
            <w:vAlign w:val="bottom"/>
          </w:tcPr>
          <w:p>
            <w:pPr>
              <w:pStyle w:val="TableContents"/>
              <w:bidi w:val="0"/>
              <w:spacing w:before="0" w:after="283"/>
              <w:jc w:val="left"/>
              <w:rPr/>
            </w:pPr>
            <w:r>
              <w:rPr/>
              <w:t> </w:t>
            </w:r>
          </w:p>
        </w:tc>
      </w:tr>
      <w:tr>
        <w:trPr/>
        <w:tc>
          <w:tcPr>
            <w:tcW w:w="52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Internal costs</w:t>
            </w:r>
          </w:p>
        </w:tc>
        <w:tc>
          <w:tcPr>
            <w:tcW w:w="41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46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242" w:type="dxa"/>
            <w:tcBorders/>
          </w:tcPr>
          <w:p>
            <w:pPr>
              <w:pStyle w:val="TableContents"/>
              <w:bidi w:val="0"/>
              <w:spacing w:before="0" w:after="0"/>
              <w:jc w:val="left"/>
              <w:rPr>
                <w:rFonts w:ascii="Times New Roman" w:hAnsi="Times New Roman"/>
                <w:sz w:val="20"/>
              </w:rPr>
            </w:pPr>
            <w:r>
              <w:rPr>
                <w:rFonts w:ascii="Times New Roman" w:hAnsi="Times New Roman"/>
                <w:sz w:val="20"/>
              </w:rPr>
              <w:t>Personnel-related costs</w:t>
            </w:r>
          </w:p>
        </w:tc>
        <w:tc>
          <w:tcPr>
            <w:tcW w:w="41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6,993</w:t>
            </w:r>
          </w:p>
        </w:tc>
        <w:tc>
          <w:tcPr>
            <w:tcW w:w="87"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10,686</w:t>
            </w:r>
          </w:p>
        </w:tc>
        <w:tc>
          <w:tcPr>
            <w:tcW w:w="63" w:type="dxa"/>
            <w:tcBorders/>
            <w:vAlign w:val="bottom"/>
          </w:tcPr>
          <w:p>
            <w:pPr>
              <w:pStyle w:val="TableContents"/>
              <w:bidi w:val="0"/>
              <w:spacing w:before="0" w:after="283"/>
              <w:jc w:val="left"/>
              <w:rPr/>
            </w:pPr>
            <w:r>
              <w:rPr/>
              <w:t> </w:t>
            </w:r>
          </w:p>
        </w:tc>
      </w:tr>
      <w:tr>
        <w:trPr/>
        <w:tc>
          <w:tcPr>
            <w:tcW w:w="52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Facilities and overhead costs</w:t>
            </w:r>
          </w:p>
        </w:tc>
        <w:tc>
          <w:tcPr>
            <w:tcW w:w="41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530</w:t>
            </w:r>
          </w:p>
        </w:tc>
        <w:tc>
          <w:tcPr>
            <w:tcW w:w="87"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822</w:t>
            </w:r>
          </w:p>
        </w:tc>
        <w:tc>
          <w:tcPr>
            <w:tcW w:w="63" w:type="dxa"/>
            <w:tcBorders/>
            <w:shd w:fill="CCEEFF" w:val="clear"/>
            <w:vAlign w:val="bottom"/>
          </w:tcPr>
          <w:p>
            <w:pPr>
              <w:pStyle w:val="TableContents"/>
              <w:bidi w:val="0"/>
              <w:spacing w:before="0" w:after="283"/>
              <w:jc w:val="left"/>
              <w:rPr/>
            </w:pPr>
            <w:r>
              <w:rPr/>
              <w:t> </w:t>
            </w:r>
          </w:p>
        </w:tc>
      </w:tr>
      <w:tr>
        <w:trPr/>
        <w:tc>
          <w:tcPr>
            <w:tcW w:w="5242"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242" w:type="dxa"/>
            <w:tcBorders/>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41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995" w:type="dxa"/>
            <w:tcBorders/>
            <w:vAlign w:val="bottom"/>
          </w:tcPr>
          <w:p>
            <w:pPr>
              <w:pStyle w:val="TableContents"/>
              <w:bidi w:val="0"/>
              <w:spacing w:before="0" w:after="283"/>
              <w:jc w:val="right"/>
              <w:rPr/>
            </w:pPr>
            <w:r>
              <w:rPr/>
              <w:t>33,864</w:t>
            </w:r>
          </w:p>
        </w:tc>
        <w:tc>
          <w:tcPr>
            <w:tcW w:w="87"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998" w:type="dxa"/>
            <w:tcBorders/>
            <w:vAlign w:val="bottom"/>
          </w:tcPr>
          <w:p>
            <w:pPr>
              <w:pStyle w:val="TableContents"/>
              <w:bidi w:val="0"/>
              <w:spacing w:before="0" w:after="283"/>
              <w:jc w:val="right"/>
              <w:rPr/>
            </w:pPr>
            <w:r>
              <w:rPr/>
              <w:t>54,153</w:t>
            </w:r>
          </w:p>
        </w:tc>
        <w:tc>
          <w:tcPr>
            <w:tcW w:w="63" w:type="dxa"/>
            <w:tcBorders/>
            <w:vAlign w:val="bottom"/>
          </w:tcPr>
          <w:p>
            <w:pPr>
              <w:pStyle w:val="TableContents"/>
              <w:bidi w:val="0"/>
              <w:spacing w:before="0" w:after="283"/>
              <w:jc w:val="left"/>
              <w:rPr/>
            </w:pPr>
            <w:r>
              <w:rPr/>
              <w:t> </w:t>
            </w:r>
          </w:p>
        </w:tc>
      </w:tr>
      <w:tr>
        <w:trPr/>
        <w:tc>
          <w:tcPr>
            <w:tcW w:w="5242"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995" w:type="dxa"/>
            <w:tcBorders/>
            <w:vAlign w:val="bottom"/>
          </w:tcPr>
          <w:p>
            <w:pPr>
              <w:pStyle w:val="TableContents"/>
              <w:pBdr>
                <w:top w:val="double" w:sz="6"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998"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16.</w:t>
            </w:r>
          </w:p>
        </w:tc>
        <w:tc>
          <w:tcPr>
            <w:tcW w:w="9799"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Reverse Stock Split </w:t>
            </w:r>
          </w:p>
        </w:tc>
      </w:tr>
    </w:tbl>
    <w:p>
      <w:pPr>
        <w:pStyle w:val="TextBody"/>
        <w:bidi w:val="0"/>
        <w:spacing w:before="120" w:after="0"/>
        <w:jc w:val="both"/>
        <w:rPr>
          <w:rFonts w:ascii="Times New Roman" w:hAnsi="Times New Roman"/>
          <w:sz w:val="20"/>
        </w:rPr>
      </w:pPr>
      <w:r>
        <w:rPr>
          <w:rFonts w:ascii="Times New Roman" w:hAnsi="Times New Roman"/>
          <w:sz w:val="20"/>
        </w:rPr>
        <w:t xml:space="preserve">On July 22, 2026, the board of directors approved, and on July 29, 2026, the Company effected, a reverse stock split of the shares of the Company’s outstanding common stock at a ratio of 1-for-9.29 (the “Reverse Stock Split”). The number of authorized shares and par value per share were not adjusted as a result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Reverse Stock Split. All references to shares, options to purchase common stock, share amounts and per share amount for common stock, and related information contained in the consolidated financial statements have been retrospectively adjusted to reflect the effect of the Reverse Stock Split for all periods presented. The shares of common stock underlying outstanding stock options and other equity instruments were proportionately reduced and the respective exercise prices, if applicable, were proportionately increased in accordance with the terms of the agreements governing such securities. In addition, the conversion ratios for each series of the Company’s redeemable convertible preferred stock, which will automatically convert into shares of common stock upon the closing of the Company’s IPO of common stock, were proportionally adjusted.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17.</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Company evaluated subsequent events from December 31, 2025 to June 5, 2026, the day on which these consolidated financial statements were available to be issued. No subsequent events have been identified for disclosure to or adjustment on the consolidated financial statements. </w:t>
      </w:r>
    </w:p>
    <w:p>
      <w:pPr>
        <w:pStyle w:val="TextBody"/>
        <w:bidi w:val="0"/>
        <w:spacing w:before="360" w:after="0"/>
        <w:jc w:val="both"/>
        <w:rPr>
          <w:rFonts w:ascii="Times New Roman" w:hAnsi="Times New Roman"/>
          <w:sz w:val="20"/>
        </w:rPr>
      </w:pPr>
      <w:r>
        <w:rPr>
          <w:rFonts w:ascii="Times New Roman" w:hAnsi="Times New Roman"/>
          <w:b/>
          <w:sz w:val="20"/>
        </w:rPr>
        <w:t>Events Subsequent to Original Issuance of Consolidated Financial Statements (unaudited)</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In connection with the reissuance of the financial statements to give effect to the Reverse Stock Split described in Note 16, the Company evaluated subsequent events through July 29, 2026, the date the consolidated financial statements were available for reissuance.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bookmarkStart w:id="31" w:name="fin40469_7"/>
      <w:bookmarkEnd w:id="31"/>
      <w:r>
        <w:rPr>
          <w:rFonts w:ascii="Times New Roman" w:hAnsi="Times New Roman"/>
          <w:b/>
          <w:sz w:val="20"/>
        </w:rPr>
        <w:t xml:space="preserve">Condensed Consolidated Balance Sheets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45"/>
        <w:gridCol w:w="508"/>
        <w:gridCol w:w="269"/>
        <w:gridCol w:w="1692"/>
        <w:gridCol w:w="155"/>
        <w:gridCol w:w="460"/>
        <w:gridCol w:w="222"/>
        <w:gridCol w:w="1396"/>
        <w:gridCol w:w="158"/>
      </w:tblGrid>
      <w:tr>
        <w:trPr/>
        <w:tc>
          <w:tcPr>
            <w:tcW w:w="5345" w:type="dxa"/>
            <w:tcBorders/>
            <w:vAlign w:val="center"/>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45" w:type="dxa"/>
            <w:tcBorders/>
            <w:vAlign w:val="bottom"/>
          </w:tcPr>
          <w:p>
            <w:pPr>
              <w:pStyle w:val="TableContents"/>
              <w:bidi w:val="0"/>
              <w:spacing w:before="0" w:after="283"/>
              <w:jc w:val="left"/>
              <w:rPr/>
            </w:pPr>
            <w:r>
              <w:rPr/>
              <w:t> </w:t>
            </w:r>
          </w:p>
        </w:tc>
        <w:tc>
          <w:tcPr>
            <w:tcW w:w="508" w:type="dxa"/>
            <w:tcBorders/>
            <w:vAlign w:val="bottom"/>
          </w:tcPr>
          <w:p>
            <w:pPr>
              <w:pStyle w:val="TableContents"/>
              <w:bidi w:val="0"/>
              <w:spacing w:before="0" w:after="283"/>
              <w:jc w:val="left"/>
              <w:rPr/>
            </w:pPr>
            <w:r>
              <w:rPr/>
              <w:t>  </w:t>
            </w:r>
          </w:p>
        </w:tc>
        <w:tc>
          <w:tcPr>
            <w:tcW w:w="19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5"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6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r>
          </w:p>
        </w:tc>
        <w:tc>
          <w:tcPr>
            <w:tcW w:w="158" w:type="dxa"/>
            <w:tcBorders/>
            <w:vAlign w:val="bottom"/>
          </w:tcPr>
          <w:p>
            <w:pPr>
              <w:pStyle w:val="TableContents"/>
              <w:bidi w:val="0"/>
              <w:spacing w:before="0" w:after="283"/>
              <w:jc w:val="left"/>
              <w:rPr/>
            </w:pPr>
            <w:r>
              <w:rPr/>
              <w:t> </w:t>
            </w:r>
          </w:p>
        </w:tc>
      </w:tr>
      <w:tr>
        <w:trPr/>
        <w:tc>
          <w:tcPr>
            <w:tcW w:w="53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50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sz w:val="4"/>
                <w:szCs w:val="4"/>
              </w:rPr>
            </w:pPr>
            <w:r>
              <w:rPr>
                <w:sz w:val="4"/>
                <w:szCs w:val="4"/>
              </w:rPr>
            </w:r>
          </w:p>
        </w:tc>
        <w:tc>
          <w:tcPr>
            <w:tcW w:w="16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39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345"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50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sz w:val="4"/>
                <w:szCs w:val="4"/>
              </w:rPr>
            </w:pPr>
            <w:r>
              <w:rPr>
                <w:sz w:val="4"/>
                <w:szCs w:val="4"/>
              </w:rPr>
            </w:r>
          </w:p>
        </w:tc>
        <w:tc>
          <w:tcPr>
            <w:tcW w:w="16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1396"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50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1692" w:type="dxa"/>
            <w:tcBorders/>
            <w:shd w:fill="CCEEFF" w:val="clear"/>
            <w:vAlign w:val="bottom"/>
          </w:tcPr>
          <w:p>
            <w:pPr>
              <w:pStyle w:val="TableContents"/>
              <w:bidi w:val="0"/>
              <w:spacing w:before="0" w:after="283"/>
              <w:jc w:val="right"/>
              <w:rPr/>
            </w:pPr>
            <w:r>
              <w:rPr/>
              <w:t>40,193</w:t>
            </w:r>
          </w:p>
        </w:tc>
        <w:tc>
          <w:tcPr>
            <w:tcW w:w="155"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1396" w:type="dxa"/>
            <w:tcBorders/>
            <w:shd w:fill="CCEEFF" w:val="clear"/>
            <w:vAlign w:val="bottom"/>
          </w:tcPr>
          <w:p>
            <w:pPr>
              <w:pStyle w:val="TableContents"/>
              <w:bidi w:val="0"/>
              <w:spacing w:before="0" w:after="283"/>
              <w:jc w:val="right"/>
              <w:rPr/>
            </w:pPr>
            <w:r>
              <w:rPr/>
              <w:t>43,297</w:t>
            </w:r>
          </w:p>
        </w:tc>
        <w:tc>
          <w:tcPr>
            <w:tcW w:w="158" w:type="dxa"/>
            <w:tcBorders/>
            <w:shd w:fill="CCEEFF" w:val="clear"/>
            <w:vAlign w:val="bottom"/>
          </w:tcPr>
          <w:p>
            <w:pPr>
              <w:pStyle w:val="TableContents"/>
              <w:bidi w:val="0"/>
              <w:spacing w:before="0" w:after="283"/>
              <w:jc w:val="left"/>
              <w:rPr/>
            </w:pPr>
            <w:r>
              <w:rPr/>
              <w:t> </w:t>
            </w:r>
          </w:p>
        </w:tc>
      </w:tr>
      <w:tr>
        <w:trPr/>
        <w:tc>
          <w:tcPr>
            <w:tcW w:w="5345"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50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692" w:type="dxa"/>
            <w:tcBorders/>
            <w:vAlign w:val="bottom"/>
          </w:tcPr>
          <w:p>
            <w:pPr>
              <w:pStyle w:val="TableContents"/>
              <w:bidi w:val="0"/>
              <w:spacing w:before="0" w:after="283"/>
              <w:jc w:val="right"/>
              <w:rPr/>
            </w:pPr>
            <w:r>
              <w:rPr/>
              <w:t>112,075</w:t>
            </w:r>
          </w:p>
        </w:tc>
        <w:tc>
          <w:tcPr>
            <w:tcW w:w="155"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right"/>
              <w:rPr/>
            </w:pPr>
            <w:r>
              <w:rPr/>
              <w:t>89,325</w:t>
            </w:r>
          </w:p>
        </w:tc>
        <w:tc>
          <w:tcPr>
            <w:tcW w:w="158" w:type="dxa"/>
            <w:tcBorders/>
            <w:vAlign w:val="bottom"/>
          </w:tcPr>
          <w:p>
            <w:pPr>
              <w:pStyle w:val="TableContents"/>
              <w:bidi w:val="0"/>
              <w:spacing w:before="0" w:after="283"/>
              <w:jc w:val="left"/>
              <w:rPr/>
            </w:pPr>
            <w:r>
              <w:rPr/>
              <w:t> </w:t>
            </w:r>
          </w:p>
        </w:tc>
      </w:tr>
      <w:tr>
        <w:trPr/>
        <w:tc>
          <w:tcPr>
            <w:tcW w:w="5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50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692" w:type="dxa"/>
            <w:tcBorders/>
            <w:shd w:fill="CCEEFF" w:val="clear"/>
            <w:vAlign w:val="bottom"/>
          </w:tcPr>
          <w:p>
            <w:pPr>
              <w:pStyle w:val="TableContents"/>
              <w:bidi w:val="0"/>
              <w:spacing w:before="0" w:after="283"/>
              <w:jc w:val="right"/>
              <w:rPr/>
            </w:pPr>
            <w:r>
              <w:rPr/>
              <w:t>4,027</w:t>
            </w:r>
          </w:p>
        </w:tc>
        <w:tc>
          <w:tcPr>
            <w:tcW w:w="155"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right"/>
              <w:rPr/>
            </w:pPr>
            <w:r>
              <w:rPr/>
              <w:t>4,020</w:t>
            </w:r>
          </w:p>
        </w:tc>
        <w:tc>
          <w:tcPr>
            <w:tcW w:w="158" w:type="dxa"/>
            <w:tcBorders/>
            <w:shd w:fill="CCEEFF" w:val="clear"/>
            <w:vAlign w:val="bottom"/>
          </w:tcPr>
          <w:p>
            <w:pPr>
              <w:pStyle w:val="TableContents"/>
              <w:bidi w:val="0"/>
              <w:spacing w:before="0" w:after="283"/>
              <w:jc w:val="left"/>
              <w:rPr/>
            </w:pPr>
            <w:r>
              <w:rPr/>
              <w:t> </w:t>
            </w:r>
          </w:p>
        </w:tc>
      </w:tr>
      <w:tr>
        <w:trPr/>
        <w:tc>
          <w:tcPr>
            <w:tcW w:w="5345" w:type="dxa"/>
            <w:tcBorders/>
            <w:vAlign w:val="bottom"/>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6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39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45"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50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692" w:type="dxa"/>
            <w:tcBorders/>
            <w:vAlign w:val="bottom"/>
          </w:tcPr>
          <w:p>
            <w:pPr>
              <w:pStyle w:val="TableContents"/>
              <w:bidi w:val="0"/>
              <w:spacing w:before="0" w:after="283"/>
              <w:jc w:val="right"/>
              <w:rPr/>
            </w:pPr>
            <w:r>
              <w:rPr/>
              <w:t>156,295</w:t>
            </w:r>
          </w:p>
        </w:tc>
        <w:tc>
          <w:tcPr>
            <w:tcW w:w="155"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right"/>
              <w:rPr/>
            </w:pPr>
            <w:r>
              <w:rPr/>
              <w:t>136,642</w:t>
            </w:r>
          </w:p>
        </w:tc>
        <w:tc>
          <w:tcPr>
            <w:tcW w:w="158" w:type="dxa"/>
            <w:tcBorders/>
            <w:vAlign w:val="bottom"/>
          </w:tcPr>
          <w:p>
            <w:pPr>
              <w:pStyle w:val="TableContents"/>
              <w:bidi w:val="0"/>
              <w:spacing w:before="0" w:after="283"/>
              <w:jc w:val="left"/>
              <w:rPr/>
            </w:pPr>
            <w:r>
              <w:rPr/>
              <w:t> </w:t>
            </w:r>
          </w:p>
        </w:tc>
      </w:tr>
      <w:tr>
        <w:trPr/>
        <w:tc>
          <w:tcPr>
            <w:tcW w:w="5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50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692" w:type="dxa"/>
            <w:tcBorders/>
            <w:shd w:fill="CCEEFF" w:val="clear"/>
            <w:vAlign w:val="bottom"/>
          </w:tcPr>
          <w:p>
            <w:pPr>
              <w:pStyle w:val="TableContents"/>
              <w:bidi w:val="0"/>
              <w:spacing w:before="0" w:after="283"/>
              <w:jc w:val="right"/>
              <w:rPr/>
            </w:pPr>
            <w:r>
              <w:rPr/>
              <w:t>404</w:t>
            </w:r>
          </w:p>
        </w:tc>
        <w:tc>
          <w:tcPr>
            <w:tcW w:w="155"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right"/>
              <w:rPr/>
            </w:pPr>
            <w:r>
              <w:rPr/>
              <w:t>404</w:t>
            </w:r>
          </w:p>
        </w:tc>
        <w:tc>
          <w:tcPr>
            <w:tcW w:w="158" w:type="dxa"/>
            <w:tcBorders/>
            <w:shd w:fill="CCEEFF" w:val="clear"/>
            <w:vAlign w:val="bottom"/>
          </w:tcPr>
          <w:p>
            <w:pPr>
              <w:pStyle w:val="TableContents"/>
              <w:bidi w:val="0"/>
              <w:spacing w:before="0" w:after="283"/>
              <w:jc w:val="left"/>
              <w:rPr/>
            </w:pPr>
            <w:r>
              <w:rPr/>
              <w:t> </w:t>
            </w:r>
          </w:p>
        </w:tc>
      </w:tr>
      <w:tr>
        <w:trPr/>
        <w:tc>
          <w:tcPr>
            <w:tcW w:w="5345"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50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692" w:type="dxa"/>
            <w:tcBorders/>
            <w:vAlign w:val="bottom"/>
          </w:tcPr>
          <w:p>
            <w:pPr>
              <w:pStyle w:val="TableContents"/>
              <w:bidi w:val="0"/>
              <w:spacing w:before="0" w:after="283"/>
              <w:jc w:val="right"/>
              <w:rPr/>
            </w:pPr>
            <w:r>
              <w:rPr/>
              <w:t>3,492</w:t>
            </w:r>
          </w:p>
        </w:tc>
        <w:tc>
          <w:tcPr>
            <w:tcW w:w="155"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right"/>
              <w:rPr/>
            </w:pPr>
            <w:r>
              <w:rPr/>
              <w:t>3,510</w:t>
            </w:r>
          </w:p>
        </w:tc>
        <w:tc>
          <w:tcPr>
            <w:tcW w:w="158" w:type="dxa"/>
            <w:tcBorders/>
            <w:vAlign w:val="bottom"/>
          </w:tcPr>
          <w:p>
            <w:pPr>
              <w:pStyle w:val="TableContents"/>
              <w:bidi w:val="0"/>
              <w:spacing w:before="0" w:after="283"/>
              <w:jc w:val="left"/>
              <w:rPr/>
            </w:pPr>
            <w:r>
              <w:rPr/>
              <w:t> </w:t>
            </w:r>
          </w:p>
        </w:tc>
      </w:tr>
      <w:tr>
        <w:trPr/>
        <w:tc>
          <w:tcPr>
            <w:tcW w:w="5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 net</w:t>
            </w:r>
          </w:p>
        </w:tc>
        <w:tc>
          <w:tcPr>
            <w:tcW w:w="50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692" w:type="dxa"/>
            <w:tcBorders/>
            <w:shd w:fill="CCEEFF" w:val="clear"/>
            <w:vAlign w:val="bottom"/>
          </w:tcPr>
          <w:p>
            <w:pPr>
              <w:pStyle w:val="TableContents"/>
              <w:bidi w:val="0"/>
              <w:spacing w:before="0" w:after="283"/>
              <w:jc w:val="right"/>
              <w:rPr/>
            </w:pPr>
            <w:r>
              <w:rPr/>
              <w:t>4,373</w:t>
            </w:r>
          </w:p>
        </w:tc>
        <w:tc>
          <w:tcPr>
            <w:tcW w:w="155"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right"/>
              <w:rPr/>
            </w:pPr>
            <w:r>
              <w:rPr/>
              <w:t>3,980</w:t>
            </w:r>
          </w:p>
        </w:tc>
        <w:tc>
          <w:tcPr>
            <w:tcW w:w="158" w:type="dxa"/>
            <w:tcBorders/>
            <w:shd w:fill="CCEEFF" w:val="clear"/>
            <w:vAlign w:val="bottom"/>
          </w:tcPr>
          <w:p>
            <w:pPr>
              <w:pStyle w:val="TableContents"/>
              <w:bidi w:val="0"/>
              <w:spacing w:before="0" w:after="283"/>
              <w:jc w:val="left"/>
              <w:rPr/>
            </w:pPr>
            <w:r>
              <w:rPr/>
              <w:t> </w:t>
            </w:r>
          </w:p>
        </w:tc>
      </w:tr>
      <w:tr>
        <w:trPr/>
        <w:tc>
          <w:tcPr>
            <w:tcW w:w="5345"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50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692" w:type="dxa"/>
            <w:tcBorders/>
            <w:vAlign w:val="bottom"/>
          </w:tcPr>
          <w:p>
            <w:pPr>
              <w:pStyle w:val="TableContents"/>
              <w:bidi w:val="0"/>
              <w:spacing w:before="0" w:after="283"/>
              <w:jc w:val="right"/>
              <w:rPr/>
            </w:pPr>
            <w:r>
              <w:rPr/>
              <w:t>1,329</w:t>
            </w:r>
          </w:p>
        </w:tc>
        <w:tc>
          <w:tcPr>
            <w:tcW w:w="155"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right"/>
              <w:rPr/>
            </w:pPr>
            <w:r>
              <w:rPr/>
              <w:t>1,550</w:t>
            </w:r>
          </w:p>
        </w:tc>
        <w:tc>
          <w:tcPr>
            <w:tcW w:w="158" w:type="dxa"/>
            <w:tcBorders/>
            <w:vAlign w:val="bottom"/>
          </w:tcPr>
          <w:p>
            <w:pPr>
              <w:pStyle w:val="TableContents"/>
              <w:bidi w:val="0"/>
              <w:spacing w:before="0" w:after="283"/>
              <w:jc w:val="left"/>
              <w:rPr/>
            </w:pPr>
            <w:r>
              <w:rPr/>
              <w:t> </w:t>
            </w:r>
          </w:p>
        </w:tc>
      </w:tr>
      <w:tr>
        <w:trPr/>
        <w:tc>
          <w:tcPr>
            <w:tcW w:w="5345" w:type="dxa"/>
            <w:tcBorders/>
            <w:vAlign w:val="bottom"/>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6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39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50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1692" w:type="dxa"/>
            <w:tcBorders/>
            <w:shd w:fill="CCEEFF" w:val="clear"/>
            <w:vAlign w:val="bottom"/>
          </w:tcPr>
          <w:p>
            <w:pPr>
              <w:pStyle w:val="TableContents"/>
              <w:bidi w:val="0"/>
              <w:spacing w:before="0" w:after="283"/>
              <w:jc w:val="right"/>
              <w:rPr/>
            </w:pPr>
            <w:r>
              <w:rPr/>
              <w:t>165,893</w:t>
            </w:r>
          </w:p>
        </w:tc>
        <w:tc>
          <w:tcPr>
            <w:tcW w:w="155"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1396" w:type="dxa"/>
            <w:tcBorders/>
            <w:shd w:fill="CCEEFF" w:val="clear"/>
            <w:vAlign w:val="bottom"/>
          </w:tcPr>
          <w:p>
            <w:pPr>
              <w:pStyle w:val="TableContents"/>
              <w:bidi w:val="0"/>
              <w:spacing w:before="0" w:after="283"/>
              <w:jc w:val="right"/>
              <w:rPr/>
            </w:pPr>
            <w:r>
              <w:rPr/>
              <w:t>146,086</w:t>
            </w:r>
          </w:p>
        </w:tc>
        <w:tc>
          <w:tcPr>
            <w:tcW w:w="158" w:type="dxa"/>
            <w:tcBorders/>
            <w:shd w:fill="CCEEFF" w:val="clear"/>
            <w:vAlign w:val="bottom"/>
          </w:tcPr>
          <w:p>
            <w:pPr>
              <w:pStyle w:val="TableContents"/>
              <w:bidi w:val="0"/>
              <w:spacing w:before="0" w:after="283"/>
              <w:jc w:val="left"/>
              <w:rPr/>
            </w:pPr>
            <w:r>
              <w:rPr/>
              <w:t> </w:t>
            </w:r>
          </w:p>
        </w:tc>
      </w:tr>
      <w:tr>
        <w:trPr/>
        <w:tc>
          <w:tcPr>
            <w:tcW w:w="5345" w:type="dxa"/>
            <w:tcBorders/>
            <w:vAlign w:val="bottom"/>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double" w:sz="6" w:space="1" w:color="000000"/>
              </w:pBdr>
              <w:bidi w:val="0"/>
              <w:spacing w:before="0" w:after="0"/>
              <w:jc w:val="left"/>
              <w:rPr/>
            </w:pPr>
            <w:r>
              <w:rPr/>
              <w:t> </w:t>
            </w:r>
          </w:p>
        </w:tc>
        <w:tc>
          <w:tcPr>
            <w:tcW w:w="169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1396"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45"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redeemable convertible preferred stock, and stockholders’ deficit</w:t>
            </w:r>
          </w:p>
        </w:tc>
        <w:tc>
          <w:tcPr>
            <w:tcW w:w="50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sz w:val="4"/>
                <w:szCs w:val="4"/>
              </w:rPr>
            </w:pPr>
            <w:r>
              <w:rPr>
                <w:sz w:val="4"/>
                <w:szCs w:val="4"/>
              </w:rPr>
            </w:r>
          </w:p>
        </w:tc>
        <w:tc>
          <w:tcPr>
            <w:tcW w:w="16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1396"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50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sz w:val="4"/>
                <w:szCs w:val="4"/>
              </w:rPr>
            </w:pPr>
            <w:r>
              <w:rPr>
                <w:sz w:val="4"/>
                <w:szCs w:val="4"/>
              </w:rPr>
            </w:r>
          </w:p>
        </w:tc>
        <w:tc>
          <w:tcPr>
            <w:tcW w:w="16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39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345"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(including related party amounts of $39 and $33 at December 31, 2025 and March 31, 2026, respectively)</w:t>
            </w:r>
          </w:p>
        </w:tc>
        <w:tc>
          <w:tcPr>
            <w:tcW w:w="50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w:t>
            </w:r>
          </w:p>
        </w:tc>
        <w:tc>
          <w:tcPr>
            <w:tcW w:w="1692" w:type="dxa"/>
            <w:tcBorders/>
            <w:vAlign w:val="bottom"/>
          </w:tcPr>
          <w:p>
            <w:pPr>
              <w:pStyle w:val="TableContents"/>
              <w:bidi w:val="0"/>
              <w:spacing w:before="0" w:after="283"/>
              <w:jc w:val="right"/>
              <w:rPr/>
            </w:pPr>
            <w:r>
              <w:rPr/>
              <w:t>3,551</w:t>
            </w:r>
          </w:p>
        </w:tc>
        <w:tc>
          <w:tcPr>
            <w:tcW w:w="155"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1396" w:type="dxa"/>
            <w:tcBorders/>
            <w:vAlign w:val="bottom"/>
          </w:tcPr>
          <w:p>
            <w:pPr>
              <w:pStyle w:val="TableContents"/>
              <w:bidi w:val="0"/>
              <w:spacing w:before="0" w:after="283"/>
              <w:jc w:val="right"/>
              <w:rPr/>
            </w:pPr>
            <w:r>
              <w:rPr/>
              <w:t>2,561</w:t>
            </w:r>
          </w:p>
        </w:tc>
        <w:tc>
          <w:tcPr>
            <w:tcW w:w="158" w:type="dxa"/>
            <w:tcBorders/>
            <w:vAlign w:val="bottom"/>
          </w:tcPr>
          <w:p>
            <w:pPr>
              <w:pStyle w:val="TableContents"/>
              <w:bidi w:val="0"/>
              <w:spacing w:before="0" w:after="283"/>
              <w:jc w:val="left"/>
              <w:rPr/>
            </w:pPr>
            <w:r>
              <w:rPr/>
              <w:t> </w:t>
            </w:r>
          </w:p>
        </w:tc>
      </w:tr>
      <w:tr>
        <w:trPr/>
        <w:tc>
          <w:tcPr>
            <w:tcW w:w="5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50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692" w:type="dxa"/>
            <w:tcBorders/>
            <w:shd w:fill="CCEEFF" w:val="clear"/>
            <w:vAlign w:val="bottom"/>
          </w:tcPr>
          <w:p>
            <w:pPr>
              <w:pStyle w:val="TableContents"/>
              <w:bidi w:val="0"/>
              <w:spacing w:before="0" w:after="283"/>
              <w:jc w:val="right"/>
              <w:rPr/>
            </w:pPr>
            <w:r>
              <w:rPr/>
              <w:t>5,535</w:t>
            </w:r>
          </w:p>
        </w:tc>
        <w:tc>
          <w:tcPr>
            <w:tcW w:w="155"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right"/>
              <w:rPr/>
            </w:pPr>
            <w:r>
              <w:rPr/>
              <w:t>5,260</w:t>
            </w:r>
          </w:p>
        </w:tc>
        <w:tc>
          <w:tcPr>
            <w:tcW w:w="158" w:type="dxa"/>
            <w:tcBorders/>
            <w:shd w:fill="CCEEFF" w:val="clear"/>
            <w:vAlign w:val="bottom"/>
          </w:tcPr>
          <w:p>
            <w:pPr>
              <w:pStyle w:val="TableContents"/>
              <w:bidi w:val="0"/>
              <w:spacing w:before="0" w:after="283"/>
              <w:jc w:val="left"/>
              <w:rPr/>
            </w:pPr>
            <w:r>
              <w:rPr/>
              <w:t> </w:t>
            </w:r>
          </w:p>
        </w:tc>
      </w:tr>
      <w:tr>
        <w:trPr/>
        <w:tc>
          <w:tcPr>
            <w:tcW w:w="5345"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liability, current portion</w:t>
            </w:r>
          </w:p>
        </w:tc>
        <w:tc>
          <w:tcPr>
            <w:tcW w:w="50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692" w:type="dxa"/>
            <w:tcBorders/>
            <w:vAlign w:val="bottom"/>
          </w:tcPr>
          <w:p>
            <w:pPr>
              <w:pStyle w:val="TableContents"/>
              <w:bidi w:val="0"/>
              <w:spacing w:before="0" w:after="283"/>
              <w:jc w:val="right"/>
              <w:rPr/>
            </w:pPr>
            <w:r>
              <w:rPr/>
              <w:t>1,921</w:t>
            </w:r>
          </w:p>
        </w:tc>
        <w:tc>
          <w:tcPr>
            <w:tcW w:w="155"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right"/>
              <w:rPr/>
            </w:pPr>
            <w:r>
              <w:rPr/>
              <w:t>1,978</w:t>
            </w:r>
          </w:p>
        </w:tc>
        <w:tc>
          <w:tcPr>
            <w:tcW w:w="158" w:type="dxa"/>
            <w:tcBorders/>
            <w:vAlign w:val="bottom"/>
          </w:tcPr>
          <w:p>
            <w:pPr>
              <w:pStyle w:val="TableContents"/>
              <w:bidi w:val="0"/>
              <w:spacing w:before="0" w:after="283"/>
              <w:jc w:val="left"/>
              <w:rPr/>
            </w:pPr>
            <w:r>
              <w:rPr/>
              <w:t> </w:t>
            </w:r>
          </w:p>
        </w:tc>
      </w:tr>
      <w:tr>
        <w:trPr/>
        <w:tc>
          <w:tcPr>
            <w:tcW w:w="5345" w:type="dxa"/>
            <w:tcBorders/>
            <w:vAlign w:val="bottom"/>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6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39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50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692" w:type="dxa"/>
            <w:tcBorders/>
            <w:shd w:fill="CCEEFF" w:val="clear"/>
            <w:vAlign w:val="bottom"/>
          </w:tcPr>
          <w:p>
            <w:pPr>
              <w:pStyle w:val="TableContents"/>
              <w:bidi w:val="0"/>
              <w:spacing w:before="0" w:after="283"/>
              <w:jc w:val="right"/>
              <w:rPr/>
            </w:pPr>
            <w:r>
              <w:rPr/>
              <w:t>11,007</w:t>
            </w:r>
          </w:p>
        </w:tc>
        <w:tc>
          <w:tcPr>
            <w:tcW w:w="155"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right"/>
              <w:rPr/>
            </w:pPr>
            <w:r>
              <w:rPr/>
              <w:t>9,799</w:t>
            </w:r>
          </w:p>
        </w:tc>
        <w:tc>
          <w:tcPr>
            <w:tcW w:w="158" w:type="dxa"/>
            <w:tcBorders/>
            <w:shd w:fill="CCEEFF" w:val="clear"/>
            <w:vAlign w:val="bottom"/>
          </w:tcPr>
          <w:p>
            <w:pPr>
              <w:pStyle w:val="TableContents"/>
              <w:bidi w:val="0"/>
              <w:spacing w:before="0" w:after="283"/>
              <w:jc w:val="left"/>
              <w:rPr/>
            </w:pPr>
            <w:r>
              <w:rPr/>
              <w:t> </w:t>
            </w:r>
          </w:p>
        </w:tc>
      </w:tr>
      <w:tr>
        <w:trPr/>
        <w:tc>
          <w:tcPr>
            <w:tcW w:w="5345"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liability, net of current portion</w:t>
            </w:r>
          </w:p>
        </w:tc>
        <w:tc>
          <w:tcPr>
            <w:tcW w:w="50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692" w:type="dxa"/>
            <w:tcBorders/>
            <w:vAlign w:val="bottom"/>
          </w:tcPr>
          <w:p>
            <w:pPr>
              <w:pStyle w:val="TableContents"/>
              <w:bidi w:val="0"/>
              <w:spacing w:before="0" w:after="283"/>
              <w:jc w:val="right"/>
              <w:rPr/>
            </w:pPr>
            <w:r>
              <w:rPr/>
              <w:t>3,341</w:t>
            </w:r>
          </w:p>
        </w:tc>
        <w:tc>
          <w:tcPr>
            <w:tcW w:w="155"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right"/>
              <w:rPr/>
            </w:pPr>
            <w:r>
              <w:rPr/>
              <w:t>2,826</w:t>
            </w:r>
          </w:p>
        </w:tc>
        <w:tc>
          <w:tcPr>
            <w:tcW w:w="158" w:type="dxa"/>
            <w:tcBorders/>
            <w:vAlign w:val="bottom"/>
          </w:tcPr>
          <w:p>
            <w:pPr>
              <w:pStyle w:val="TableContents"/>
              <w:bidi w:val="0"/>
              <w:spacing w:before="0" w:after="283"/>
              <w:jc w:val="left"/>
              <w:rPr/>
            </w:pPr>
            <w:r>
              <w:rPr/>
              <w:t> </w:t>
            </w:r>
          </w:p>
        </w:tc>
      </w:tr>
      <w:tr>
        <w:trPr/>
        <w:tc>
          <w:tcPr>
            <w:tcW w:w="5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50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692" w:type="dxa"/>
            <w:tcBorders/>
            <w:shd w:fill="CCEEFF" w:val="clear"/>
            <w:vAlign w:val="bottom"/>
          </w:tcPr>
          <w:p>
            <w:pPr>
              <w:pStyle w:val="TableContents"/>
              <w:bidi w:val="0"/>
              <w:spacing w:before="0" w:after="283"/>
              <w:jc w:val="right"/>
              <w:rPr/>
            </w:pPr>
            <w:r>
              <w:rPr/>
              <w:t>755</w:t>
            </w:r>
          </w:p>
        </w:tc>
        <w:tc>
          <w:tcPr>
            <w:tcW w:w="155"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right"/>
              <w:rPr/>
            </w:pPr>
            <w:r>
              <w:rPr/>
              <w:t>750</w:t>
            </w:r>
          </w:p>
        </w:tc>
        <w:tc>
          <w:tcPr>
            <w:tcW w:w="158" w:type="dxa"/>
            <w:tcBorders/>
            <w:shd w:fill="CCEEFF" w:val="clear"/>
            <w:vAlign w:val="bottom"/>
          </w:tcPr>
          <w:p>
            <w:pPr>
              <w:pStyle w:val="TableContents"/>
              <w:bidi w:val="0"/>
              <w:spacing w:before="0" w:after="283"/>
              <w:jc w:val="left"/>
              <w:rPr/>
            </w:pPr>
            <w:r>
              <w:rPr/>
              <w:t> </w:t>
            </w:r>
          </w:p>
        </w:tc>
      </w:tr>
      <w:tr>
        <w:trPr/>
        <w:tc>
          <w:tcPr>
            <w:tcW w:w="5345" w:type="dxa"/>
            <w:tcBorders/>
            <w:vAlign w:val="bottom"/>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6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39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45"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50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692" w:type="dxa"/>
            <w:tcBorders/>
            <w:vAlign w:val="bottom"/>
          </w:tcPr>
          <w:p>
            <w:pPr>
              <w:pStyle w:val="TableContents"/>
              <w:bidi w:val="0"/>
              <w:spacing w:before="0" w:after="283"/>
              <w:jc w:val="right"/>
              <w:rPr/>
            </w:pPr>
            <w:r>
              <w:rPr/>
              <w:t>15,103</w:t>
            </w:r>
          </w:p>
        </w:tc>
        <w:tc>
          <w:tcPr>
            <w:tcW w:w="155"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right"/>
              <w:rPr/>
            </w:pPr>
            <w:r>
              <w:rPr/>
              <w:t>13,375</w:t>
            </w:r>
          </w:p>
        </w:tc>
        <w:tc>
          <w:tcPr>
            <w:tcW w:w="158" w:type="dxa"/>
            <w:tcBorders/>
            <w:vAlign w:val="bottom"/>
          </w:tcPr>
          <w:p>
            <w:pPr>
              <w:pStyle w:val="TableContents"/>
              <w:bidi w:val="0"/>
              <w:spacing w:before="0" w:after="283"/>
              <w:jc w:val="left"/>
              <w:rPr/>
            </w:pPr>
            <w:r>
              <w:rPr/>
              <w:t> </w:t>
            </w:r>
          </w:p>
        </w:tc>
      </w:tr>
      <w:tr>
        <w:trPr/>
        <w:tc>
          <w:tcPr>
            <w:tcW w:w="5345" w:type="dxa"/>
            <w:tcBorders/>
            <w:vAlign w:val="bottom"/>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6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39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6)</w:t>
            </w:r>
          </w:p>
        </w:tc>
        <w:tc>
          <w:tcPr>
            <w:tcW w:w="50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sz w:val="4"/>
                <w:szCs w:val="4"/>
              </w:rPr>
            </w:pPr>
            <w:r>
              <w:rPr>
                <w:sz w:val="4"/>
                <w:szCs w:val="4"/>
              </w:rPr>
            </w:r>
          </w:p>
        </w:tc>
        <w:tc>
          <w:tcPr>
            <w:tcW w:w="16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39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345" w:type="dxa"/>
            <w:tcBorders/>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 - $0.0001 par value; 199,902,270 shares authorized, issued and outstanding at December 31, 2025 and March 31, 2026; aggregate liquidation preference of $255,850 at December 31, 2025 and March 31, 2026</w:t>
            </w:r>
          </w:p>
        </w:tc>
        <w:tc>
          <w:tcPr>
            <w:tcW w:w="50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692" w:type="dxa"/>
            <w:tcBorders/>
            <w:vAlign w:val="bottom"/>
          </w:tcPr>
          <w:p>
            <w:pPr>
              <w:pStyle w:val="TableContents"/>
              <w:bidi w:val="0"/>
              <w:spacing w:before="0" w:after="283"/>
              <w:jc w:val="right"/>
              <w:rPr/>
            </w:pPr>
            <w:r>
              <w:rPr/>
              <w:t>258,226</w:t>
            </w:r>
          </w:p>
        </w:tc>
        <w:tc>
          <w:tcPr>
            <w:tcW w:w="155"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right"/>
              <w:rPr/>
            </w:pPr>
            <w:r>
              <w:rPr/>
              <w:t>258,226</w:t>
            </w:r>
          </w:p>
        </w:tc>
        <w:tc>
          <w:tcPr>
            <w:tcW w:w="158" w:type="dxa"/>
            <w:tcBorders/>
            <w:vAlign w:val="bottom"/>
          </w:tcPr>
          <w:p>
            <w:pPr>
              <w:pStyle w:val="TableContents"/>
              <w:bidi w:val="0"/>
              <w:spacing w:before="0" w:after="283"/>
              <w:jc w:val="left"/>
              <w:rPr/>
            </w:pPr>
            <w:r>
              <w:rPr/>
              <w:t> </w:t>
            </w:r>
          </w:p>
        </w:tc>
      </w:tr>
      <w:tr>
        <w:trPr>
          <w:trHeight w:val="240" w:hRule="atLeast"/>
        </w:trPr>
        <w:tc>
          <w:tcPr>
            <w:tcW w:w="5345" w:type="dxa"/>
            <w:tcBorders/>
            <w:vAlign w:val="center"/>
          </w:tcPr>
          <w:p>
            <w:pPr>
              <w:pStyle w:val="TableContents"/>
              <w:bidi w:val="0"/>
              <w:spacing w:before="0" w:after="283"/>
              <w:jc w:val="left"/>
              <w:rPr>
                <w:sz w:val="4"/>
                <w:szCs w:val="4"/>
              </w:rPr>
            </w:pPr>
            <w:r>
              <w:rPr>
                <w:sz w:val="4"/>
                <w:szCs w:val="4"/>
              </w:rPr>
            </w:r>
          </w:p>
        </w:tc>
        <w:tc>
          <w:tcPr>
            <w:tcW w:w="2624" w:type="dxa"/>
            <w:gridSpan w:val="4"/>
            <w:tcBorders/>
            <w:vAlign w:val="center"/>
          </w:tcPr>
          <w:p>
            <w:pPr>
              <w:pStyle w:val="TableContents"/>
              <w:bidi w:val="0"/>
              <w:spacing w:before="0" w:after="283"/>
              <w:jc w:val="left"/>
              <w:rPr>
                <w:sz w:val="4"/>
                <w:szCs w:val="4"/>
              </w:rPr>
            </w:pPr>
            <w:r>
              <w:rPr>
                <w:sz w:val="4"/>
                <w:szCs w:val="4"/>
              </w:rPr>
            </w:r>
          </w:p>
        </w:tc>
        <w:tc>
          <w:tcPr>
            <w:tcW w:w="2236" w:type="dxa"/>
            <w:gridSpan w:val="4"/>
            <w:tcBorders/>
            <w:vAlign w:val="center"/>
          </w:tcPr>
          <w:p>
            <w:pPr>
              <w:pStyle w:val="TableContents"/>
              <w:bidi w:val="0"/>
              <w:spacing w:before="0" w:after="283"/>
              <w:jc w:val="left"/>
              <w:rPr>
                <w:sz w:val="4"/>
                <w:szCs w:val="4"/>
              </w:rPr>
            </w:pPr>
            <w:r>
              <w:rPr>
                <w:sz w:val="4"/>
                <w:szCs w:val="4"/>
              </w:rPr>
            </w:r>
          </w:p>
        </w:tc>
      </w:tr>
      <w:tr>
        <w:trPr/>
        <w:tc>
          <w:tcPr>
            <w:tcW w:w="5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deficit:</w:t>
            </w:r>
          </w:p>
        </w:tc>
        <w:tc>
          <w:tcPr>
            <w:tcW w:w="50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sz w:val="4"/>
                <w:szCs w:val="4"/>
              </w:rPr>
            </w:pPr>
            <w:r>
              <w:rPr>
                <w:sz w:val="4"/>
                <w:szCs w:val="4"/>
              </w:rPr>
            </w:r>
          </w:p>
        </w:tc>
        <w:tc>
          <w:tcPr>
            <w:tcW w:w="16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39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345"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 $0.0001 par value; 284,023,000 shares authorized at December 31, 2025 and March 31, 2026; 4,507,108 and 4,511,041 shares issued and outstanding at December 31, 2025 and March 31, 2026, respectively</w:t>
            </w:r>
          </w:p>
        </w:tc>
        <w:tc>
          <w:tcPr>
            <w:tcW w:w="50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692"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right"/>
              <w:rPr/>
            </w:pPr>
            <w:r>
              <w:rPr/>
              <w:t>1</w:t>
            </w:r>
          </w:p>
        </w:tc>
        <w:tc>
          <w:tcPr>
            <w:tcW w:w="158" w:type="dxa"/>
            <w:tcBorders/>
            <w:vAlign w:val="bottom"/>
          </w:tcPr>
          <w:p>
            <w:pPr>
              <w:pStyle w:val="TableContents"/>
              <w:bidi w:val="0"/>
              <w:spacing w:before="0" w:after="283"/>
              <w:jc w:val="left"/>
              <w:rPr/>
            </w:pPr>
            <w:r>
              <w:rPr/>
              <w:t> </w:t>
            </w:r>
          </w:p>
        </w:tc>
      </w:tr>
      <w:tr>
        <w:trPr/>
        <w:tc>
          <w:tcPr>
            <w:tcW w:w="5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50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692" w:type="dxa"/>
            <w:tcBorders/>
            <w:shd w:fill="CCEEFF" w:val="clear"/>
            <w:vAlign w:val="bottom"/>
          </w:tcPr>
          <w:p>
            <w:pPr>
              <w:pStyle w:val="TableContents"/>
              <w:bidi w:val="0"/>
              <w:spacing w:before="0" w:after="283"/>
              <w:jc w:val="right"/>
              <w:rPr/>
            </w:pPr>
            <w:r>
              <w:rPr/>
              <w:t>3,474</w:t>
            </w:r>
          </w:p>
        </w:tc>
        <w:tc>
          <w:tcPr>
            <w:tcW w:w="155"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right"/>
              <w:rPr/>
            </w:pPr>
            <w:r>
              <w:rPr/>
              <w:t>4,177</w:t>
            </w:r>
          </w:p>
        </w:tc>
        <w:tc>
          <w:tcPr>
            <w:tcW w:w="158" w:type="dxa"/>
            <w:tcBorders/>
            <w:shd w:fill="CCEEFF" w:val="clear"/>
            <w:vAlign w:val="bottom"/>
          </w:tcPr>
          <w:p>
            <w:pPr>
              <w:pStyle w:val="TableContents"/>
              <w:bidi w:val="0"/>
              <w:spacing w:before="0" w:after="283"/>
              <w:jc w:val="left"/>
              <w:rPr/>
            </w:pPr>
            <w:r>
              <w:rPr/>
              <w:t> </w:t>
            </w:r>
          </w:p>
        </w:tc>
      </w:tr>
      <w:tr>
        <w:trPr/>
        <w:tc>
          <w:tcPr>
            <w:tcW w:w="5345"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 (loss)</w:t>
            </w:r>
          </w:p>
        </w:tc>
        <w:tc>
          <w:tcPr>
            <w:tcW w:w="50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692" w:type="dxa"/>
            <w:tcBorders/>
            <w:vAlign w:val="bottom"/>
          </w:tcPr>
          <w:p>
            <w:pPr>
              <w:pStyle w:val="TableContents"/>
              <w:bidi w:val="0"/>
              <w:spacing w:before="0" w:after="283"/>
              <w:jc w:val="right"/>
              <w:rPr/>
            </w:pPr>
            <w:r>
              <w:rPr/>
              <w:t>99</w:t>
            </w:r>
          </w:p>
        </w:tc>
        <w:tc>
          <w:tcPr>
            <w:tcW w:w="155"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right"/>
              <w:rPr/>
            </w:pPr>
            <w:r>
              <w:rPr/>
              <w:t>(27</w:t>
            </w:r>
          </w:p>
        </w:tc>
        <w:tc>
          <w:tcPr>
            <w:tcW w:w="158" w:type="dxa"/>
            <w:tcBorders/>
            <w:vAlign w:val="bottom"/>
          </w:tcPr>
          <w:p>
            <w:pPr>
              <w:pStyle w:val="TableContents"/>
              <w:bidi w:val="0"/>
              <w:spacing w:before="0" w:after="283"/>
              <w:jc w:val="left"/>
              <w:rPr/>
            </w:pPr>
            <w:r>
              <w:rPr/>
              <w:t>) </w:t>
            </w:r>
          </w:p>
        </w:tc>
      </w:tr>
      <w:tr>
        <w:trPr/>
        <w:tc>
          <w:tcPr>
            <w:tcW w:w="5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50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692" w:type="dxa"/>
            <w:tcBorders/>
            <w:shd w:fill="CCEEFF" w:val="clear"/>
            <w:vAlign w:val="bottom"/>
          </w:tcPr>
          <w:p>
            <w:pPr>
              <w:pStyle w:val="TableContents"/>
              <w:bidi w:val="0"/>
              <w:spacing w:before="0" w:after="283"/>
              <w:jc w:val="right"/>
              <w:rPr/>
            </w:pPr>
            <w:r>
              <w:rPr/>
              <w:t>(111,010</w:t>
            </w:r>
          </w:p>
        </w:tc>
        <w:tc>
          <w:tcPr>
            <w:tcW w:w="155"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right"/>
              <w:rPr/>
            </w:pPr>
            <w:r>
              <w:rPr/>
              <w:t>(129,666</w:t>
            </w:r>
          </w:p>
        </w:tc>
        <w:tc>
          <w:tcPr>
            <w:tcW w:w="158" w:type="dxa"/>
            <w:tcBorders/>
            <w:shd w:fill="CCEEFF" w:val="clear"/>
            <w:vAlign w:val="bottom"/>
          </w:tcPr>
          <w:p>
            <w:pPr>
              <w:pStyle w:val="TableContents"/>
              <w:bidi w:val="0"/>
              <w:spacing w:before="0" w:after="283"/>
              <w:jc w:val="left"/>
              <w:rPr/>
            </w:pPr>
            <w:r>
              <w:rPr/>
              <w:t>) </w:t>
            </w:r>
          </w:p>
        </w:tc>
      </w:tr>
      <w:tr>
        <w:trPr/>
        <w:tc>
          <w:tcPr>
            <w:tcW w:w="5345" w:type="dxa"/>
            <w:tcBorders/>
            <w:vAlign w:val="bottom"/>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6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39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45"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50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692" w:type="dxa"/>
            <w:tcBorders/>
            <w:vAlign w:val="bottom"/>
          </w:tcPr>
          <w:p>
            <w:pPr>
              <w:pStyle w:val="TableContents"/>
              <w:bidi w:val="0"/>
              <w:spacing w:before="0" w:after="283"/>
              <w:jc w:val="right"/>
              <w:rPr/>
            </w:pPr>
            <w:r>
              <w:rPr/>
              <w:t>(107,436</w:t>
            </w:r>
          </w:p>
        </w:tc>
        <w:tc>
          <w:tcPr>
            <w:tcW w:w="155"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right"/>
              <w:rPr/>
            </w:pPr>
            <w:r>
              <w:rPr/>
              <w:t>(125,515</w:t>
            </w:r>
          </w:p>
        </w:tc>
        <w:tc>
          <w:tcPr>
            <w:tcW w:w="158" w:type="dxa"/>
            <w:tcBorders/>
            <w:vAlign w:val="bottom"/>
          </w:tcPr>
          <w:p>
            <w:pPr>
              <w:pStyle w:val="TableContents"/>
              <w:bidi w:val="0"/>
              <w:spacing w:before="0" w:after="283"/>
              <w:jc w:val="left"/>
              <w:rPr/>
            </w:pPr>
            <w:r>
              <w:rPr/>
              <w:t>) </w:t>
            </w:r>
          </w:p>
        </w:tc>
      </w:tr>
      <w:tr>
        <w:trPr/>
        <w:tc>
          <w:tcPr>
            <w:tcW w:w="5345" w:type="dxa"/>
            <w:tcBorders/>
            <w:vAlign w:val="bottom"/>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6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39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redeemable convertible preferred stock, and stockholders’ deficit</w:t>
            </w:r>
          </w:p>
        </w:tc>
        <w:tc>
          <w:tcPr>
            <w:tcW w:w="50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1692" w:type="dxa"/>
            <w:tcBorders/>
            <w:shd w:fill="CCEEFF" w:val="clear"/>
            <w:vAlign w:val="bottom"/>
          </w:tcPr>
          <w:p>
            <w:pPr>
              <w:pStyle w:val="TableContents"/>
              <w:bidi w:val="0"/>
              <w:spacing w:before="0" w:after="283"/>
              <w:jc w:val="right"/>
              <w:rPr/>
            </w:pPr>
            <w:r>
              <w:rPr/>
              <w:t>165,893</w:t>
            </w:r>
          </w:p>
        </w:tc>
        <w:tc>
          <w:tcPr>
            <w:tcW w:w="155"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1396" w:type="dxa"/>
            <w:tcBorders/>
            <w:shd w:fill="CCEEFF" w:val="clear"/>
            <w:vAlign w:val="bottom"/>
          </w:tcPr>
          <w:p>
            <w:pPr>
              <w:pStyle w:val="TableContents"/>
              <w:bidi w:val="0"/>
              <w:spacing w:before="0" w:after="283"/>
              <w:jc w:val="right"/>
              <w:rPr/>
            </w:pPr>
            <w:r>
              <w:rPr/>
              <w:t>146,086</w:t>
            </w:r>
          </w:p>
        </w:tc>
        <w:tc>
          <w:tcPr>
            <w:tcW w:w="158" w:type="dxa"/>
            <w:tcBorders/>
            <w:shd w:fill="CCEEFF" w:val="clear"/>
            <w:vAlign w:val="bottom"/>
          </w:tcPr>
          <w:p>
            <w:pPr>
              <w:pStyle w:val="TableContents"/>
              <w:bidi w:val="0"/>
              <w:spacing w:before="0" w:after="283"/>
              <w:jc w:val="left"/>
              <w:rPr/>
            </w:pPr>
            <w:r>
              <w:rPr/>
              <w:t> </w:t>
            </w:r>
          </w:p>
        </w:tc>
      </w:tr>
      <w:tr>
        <w:trPr/>
        <w:tc>
          <w:tcPr>
            <w:tcW w:w="5345" w:type="dxa"/>
            <w:tcBorders/>
            <w:vAlign w:val="bottom"/>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double" w:sz="6" w:space="1" w:color="000000"/>
              </w:pBdr>
              <w:bidi w:val="0"/>
              <w:spacing w:before="0" w:after="0"/>
              <w:jc w:val="left"/>
              <w:rPr/>
            </w:pPr>
            <w:r>
              <w:rPr/>
              <w:t> </w:t>
            </w:r>
          </w:p>
        </w:tc>
        <w:tc>
          <w:tcPr>
            <w:tcW w:w="169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1396"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bookmarkStart w:id="32" w:name="fin40469_8"/>
      <w:bookmarkEnd w:id="32"/>
      <w:r>
        <w:rPr>
          <w:rFonts w:ascii="Times New Roman" w:hAnsi="Times New Roman"/>
          <w:b/>
          <w:sz w:val="20"/>
        </w:rPr>
        <w:t xml:space="preserve">Condensed Consolidated Statements of Operations and Comprehensive Loss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08"/>
        <w:gridCol w:w="380"/>
        <w:gridCol w:w="140"/>
        <w:gridCol w:w="990"/>
        <w:gridCol w:w="155"/>
        <w:gridCol w:w="343"/>
        <w:gridCol w:w="140"/>
        <w:gridCol w:w="990"/>
        <w:gridCol w:w="159"/>
      </w:tblGrid>
      <w:tr>
        <w:trPr/>
        <w:tc>
          <w:tcPr>
            <w:tcW w:w="6908"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0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7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w:t>
              <w:br/>
              <w:t>31,</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9" w:type="dxa"/>
            <w:tcBorders/>
            <w:vAlign w:val="bottom"/>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(including related party amounts of $7 and $60 for the three months ended March 31, 2025 and 2026, respectively)</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11,856</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16,746</w:t>
            </w:r>
          </w:p>
        </w:tc>
        <w:tc>
          <w:tcPr>
            <w:tcW w:w="159" w:type="dxa"/>
            <w:tcBorders/>
            <w:vAlign w:val="bottom"/>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(including related party amounts of $239 and $0 for the three months ended March 31, 2025 and 2026, respectively)</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4,248</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3,209</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16,104</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19,955</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(16,104</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(19,955</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1,126</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1,326</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preferred stock tranche liability</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(170</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(27</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953</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1,299</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(15,151</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(18,656</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Less: Accretion of redeemable convertible preferred stock to its redemption value</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(271</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(15,422</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(18,656</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(4.05</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(4.49</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3,806,722</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4,153,167</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loss on available-for-sale marketable securities, net</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(126</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Net loss and other comprehensive loss</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(15,175</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(18,782</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bookmarkStart w:id="33" w:name="fin40469_9"/>
      <w:bookmarkEnd w:id="33"/>
      <w:r>
        <w:rPr>
          <w:rFonts w:ascii="Times New Roman" w:hAnsi="Times New Roman"/>
          <w:b/>
          <w:sz w:val="20"/>
        </w:rPr>
        <w:t xml:space="preserve">Condensed Consolidated Statements of Redeemable Convertible Preferred Stock and Stockholders’ Deficit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2330" w:type="dxa"/>
        <w:jc w:val="center"/>
        <w:tblInd w:w="0" w:type="dxa"/>
        <w:tblLayout w:type="fixed"/>
        <w:tblCellMar>
          <w:top w:w="0" w:type="dxa"/>
          <w:left w:w="0" w:type="dxa"/>
          <w:bottom w:w="0" w:type="dxa"/>
          <w:right w:w="0" w:type="dxa"/>
        </w:tblCellMar>
      </w:tblPr>
      <w:tblGrid>
        <w:gridCol w:w="1010"/>
        <w:gridCol w:w="60"/>
        <w:gridCol w:w="63"/>
        <w:gridCol w:w="1283"/>
        <w:gridCol w:w="63"/>
        <w:gridCol w:w="63"/>
        <w:gridCol w:w="147"/>
        <w:gridCol w:w="906"/>
        <w:gridCol w:w="60"/>
        <w:gridCol w:w="60"/>
        <w:gridCol w:w="120"/>
        <w:gridCol w:w="60"/>
        <w:gridCol w:w="60"/>
        <w:gridCol w:w="980"/>
        <w:gridCol w:w="60"/>
        <w:gridCol w:w="60"/>
        <w:gridCol w:w="231"/>
        <w:gridCol w:w="629"/>
        <w:gridCol w:w="60"/>
        <w:gridCol w:w="60"/>
        <w:gridCol w:w="220"/>
        <w:gridCol w:w="880"/>
        <w:gridCol w:w="155"/>
        <w:gridCol w:w="60"/>
        <w:gridCol w:w="178"/>
        <w:gridCol w:w="1192"/>
        <w:gridCol w:w="155"/>
        <w:gridCol w:w="60"/>
        <w:gridCol w:w="378"/>
        <w:gridCol w:w="1232"/>
        <w:gridCol w:w="155"/>
        <w:gridCol w:w="60"/>
        <w:gridCol w:w="184"/>
        <w:gridCol w:w="1231"/>
        <w:gridCol w:w="155"/>
      </w:tblGrid>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5" w:type="dxa"/>
            <w:gridSpan w:val="6"/>
            <w:tcBorders>
              <w:bottom w:val="single" w:sz="8" w:space="0" w:color="000000"/>
            </w:tcBorders>
            <w:tcMar>
              <w:bottom w:w="28" w:type="dxa"/>
            </w:tcMar>
            <w:vAlign w:val="bottom"/>
          </w:tcPr>
          <w:p>
            <w:pPr>
              <w:pStyle w:val="TableContents"/>
              <w:bidi w:val="0"/>
              <w:spacing w:before="0" w:after="283"/>
              <w:jc w:val="center"/>
              <w:rPr/>
            </w:pPr>
            <w:r>
              <w:rPr>
                <w:b/>
              </w:rPr>
              <w:t>Redeemable Convertible</w:t>
            </w:r>
            <w:r>
              <w:rPr/>
              <w:br/>
            </w:r>
            <w:r>
              <w:rPr>
                <w:b/>
              </w:rP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r>
            <w:r>
              <w:rPr/>
              <w:br/>
            </w:r>
            <w:r>
              <w:rPr>
                <w:b/>
              </w:rPr>
              <w:t>Capital</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Other</w:t>
            </w:r>
            <w:r>
              <w:rPr/>
              <w:br/>
            </w:r>
            <w:r>
              <w:rPr>
                <w:b/>
              </w:rPr>
              <w:t>Comprehensive</w:t>
            </w:r>
            <w:r>
              <w:rPr/>
              <w:br/>
            </w:r>
            <w:r>
              <w:rPr>
                <w:b/>
              </w:rPr>
              <w:t>Income</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41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Stockholders’</w:t>
            </w:r>
            <w:r>
              <w:rPr/>
              <w:br/>
            </w:r>
            <w:r>
              <w:rPr>
                <w:b/>
              </w:rPr>
              <w:t>Deficit</w:t>
            </w:r>
          </w:p>
        </w:tc>
        <w:tc>
          <w:tcPr>
            <w:tcW w:w="155" w:type="dxa"/>
            <w:vMerge w:val="restart"/>
            <w:tcBorders/>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610"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415"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010"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Balance at December 31, 2024</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96,265,908</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06" w:type="dxa"/>
            <w:tcBorders/>
            <w:shd w:fill="CCEEFF" w:val="clear"/>
            <w:vAlign w:val="bottom"/>
          </w:tcPr>
          <w:p>
            <w:pPr>
              <w:pStyle w:val="TableContents"/>
              <w:bidi w:val="0"/>
              <w:spacing w:before="0" w:after="283"/>
              <w:jc w:val="right"/>
              <w:rPr/>
            </w:pPr>
            <w:r>
              <w:rPr/>
              <w:t>108,953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4,425,956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3,490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1192" w:type="dxa"/>
            <w:tcBorders/>
            <w:shd w:fill="CCEEFF" w:val="clear"/>
            <w:vAlign w:val="bottom"/>
          </w:tcPr>
          <w:p>
            <w:pPr>
              <w:pStyle w:val="TableContents"/>
              <w:bidi w:val="0"/>
              <w:spacing w:before="0" w:after="283"/>
              <w:jc w:val="right"/>
              <w:rPr/>
            </w:pPr>
            <w:r>
              <w:rPr/>
              <w:t> </w:t>
            </w:r>
            <w:r>
              <w:rPr/>
              <w:t>(50,383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w:t>
            </w:r>
          </w:p>
        </w:tc>
        <w:tc>
          <w:tcPr>
            <w:tcW w:w="1232" w:type="dxa"/>
            <w:tcBorders/>
            <w:shd w:fill="CCEEFF" w:val="clear"/>
            <w:vAlign w:val="bottom"/>
          </w:tcPr>
          <w:p>
            <w:pPr>
              <w:pStyle w:val="TableContents"/>
              <w:bidi w:val="0"/>
              <w:spacing w:before="0" w:after="283"/>
              <w:jc w:val="right"/>
              <w:rPr/>
            </w:pPr>
            <w:r>
              <w:rPr/>
              <w:t>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231" w:type="dxa"/>
            <w:tcBorders/>
            <w:shd w:fill="CCEEFF" w:val="clear"/>
            <w:vAlign w:val="bottom"/>
          </w:tcPr>
          <w:p>
            <w:pPr>
              <w:pStyle w:val="TableContents"/>
              <w:bidi w:val="0"/>
              <w:spacing w:before="0" w:after="283"/>
              <w:jc w:val="right"/>
              <w:rPr/>
            </w:pPr>
            <w:r>
              <w:rPr/>
              <w:t> </w:t>
            </w:r>
            <w:r>
              <w:rPr/>
              <w:t>(46,825</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7"/>
              </w:rPr>
            </w:pPr>
            <w:r>
              <w:rPr>
                <w:rFonts w:ascii="Times New Roman" w:hAnsi="Times New Roman"/>
                <w:sz w:val="17"/>
              </w:rPr>
              <w:t>Issuance of Series B redeemable convertible preferred stock and settlement of preferred stock tranche liability of $6,808, net of issuance costs of $35</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38,181,818</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59,273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Issuance of Series C redeemable convertible preferred stock, net of issuance cost of $271</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65,454,544</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89,729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7"/>
              </w:rPr>
            </w:pPr>
            <w:r>
              <w:rPr>
                <w:rFonts w:ascii="Times New Roman" w:hAnsi="Times New Roman"/>
                <w:sz w:val="17"/>
              </w:rPr>
              <w:t>Accretion of Series C redeemable convertible preferred stock to its redemption value</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271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(271</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Stock-based compensation expense</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462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462</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7"/>
              </w:rPr>
            </w:pPr>
            <w:r>
              <w:rPr>
                <w:rFonts w:ascii="Times New Roman" w:hAnsi="Times New Roman"/>
                <w:sz w:val="17"/>
              </w:rPr>
              <w:t>Issuance of common stock upon exercise of stock options</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23,788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45</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Unrealized loss on marketable securities, net</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7"/>
              </w:rPr>
            </w:pPr>
            <w:r>
              <w:rPr>
                <w:rFonts w:ascii="Times New Roman" w:hAnsi="Times New Roman"/>
                <w:sz w:val="17"/>
              </w:rPr>
              <w:t>Net loss</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(15,151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(15,151</w:t>
            </w:r>
          </w:p>
        </w:tc>
        <w:tc>
          <w:tcPr>
            <w:tcW w:w="155" w:type="dxa"/>
            <w:tcBorders/>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28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Balance at March 31, 2025</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199,902,270</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06" w:type="dxa"/>
            <w:tcBorders/>
            <w:shd w:fill="CCEEFF" w:val="clear"/>
            <w:vAlign w:val="bottom"/>
          </w:tcPr>
          <w:p>
            <w:pPr>
              <w:pStyle w:val="TableContents"/>
              <w:bidi w:val="0"/>
              <w:spacing w:before="0" w:after="283"/>
              <w:jc w:val="right"/>
              <w:rPr/>
            </w:pPr>
            <w:r>
              <w:rPr/>
              <w:t> </w:t>
            </w:r>
            <w:r>
              <w:rPr/>
              <w:t>258,226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4,449,744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3,726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1192" w:type="dxa"/>
            <w:tcBorders/>
            <w:shd w:fill="CCEEFF" w:val="clear"/>
            <w:vAlign w:val="bottom"/>
          </w:tcPr>
          <w:p>
            <w:pPr>
              <w:pStyle w:val="TableContents"/>
              <w:bidi w:val="0"/>
              <w:spacing w:before="0" w:after="283"/>
              <w:jc w:val="right"/>
              <w:rPr/>
            </w:pPr>
            <w:r>
              <w:rPr/>
              <w:t> </w:t>
            </w:r>
            <w:r>
              <w:rPr/>
              <w:t>(65,534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w:t>
            </w:r>
          </w:p>
        </w:tc>
        <w:tc>
          <w:tcPr>
            <w:tcW w:w="1232" w:type="dxa"/>
            <w:tcBorders/>
            <w:shd w:fill="CCEEFF" w:val="clear"/>
            <w:vAlign w:val="bottom"/>
          </w:tcPr>
          <w:p>
            <w:pPr>
              <w:pStyle w:val="TableContents"/>
              <w:bidi w:val="0"/>
              <w:spacing w:before="0" w:after="283"/>
              <w:jc w:val="right"/>
              <w:rPr/>
            </w:pPr>
            <w:r>
              <w:rPr/>
              <w:t>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231" w:type="dxa"/>
            <w:tcBorders/>
            <w:shd w:fill="CCEEFF" w:val="clear"/>
            <w:vAlign w:val="bottom"/>
          </w:tcPr>
          <w:p>
            <w:pPr>
              <w:pStyle w:val="TableContents"/>
              <w:bidi w:val="0"/>
              <w:spacing w:before="0" w:after="283"/>
              <w:jc w:val="right"/>
              <w:rPr/>
            </w:pPr>
            <w:r>
              <w:rPr/>
              <w:t> </w:t>
            </w:r>
            <w:r>
              <w:rPr/>
              <w:t>(61,764</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double" w:sz="6" w:space="1" w:color="000000"/>
              </w:pBdr>
              <w:bidi w:val="0"/>
              <w:spacing w:before="0" w:after="0"/>
              <w:jc w:val="left"/>
              <w:rPr/>
            </w:pPr>
            <w:r>
              <w:rPr/>
              <w:t> </w:t>
            </w:r>
          </w:p>
        </w:tc>
        <w:tc>
          <w:tcPr>
            <w:tcW w:w="128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double" w:sz="6" w:space="1" w:color="000000"/>
                <w:right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119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12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23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rHeight w:val="75" w:hRule="atLeast"/>
        </w:trPr>
        <w:tc>
          <w:tcPr>
            <w:tcW w:w="1010" w:type="dxa"/>
            <w:tcBorders/>
            <w:vAlign w:val="center"/>
          </w:tcPr>
          <w:p>
            <w:pPr>
              <w:pStyle w:val="TableContents"/>
              <w:bidi w:val="0"/>
              <w:spacing w:before="0" w:after="283"/>
              <w:jc w:val="left"/>
              <w:rPr>
                <w:sz w:val="4"/>
                <w:szCs w:val="4"/>
              </w:rPr>
            </w:pPr>
            <w:r>
              <w:rPr>
                <w:sz w:val="4"/>
                <w:szCs w:val="4"/>
              </w:rPr>
            </w:r>
          </w:p>
        </w:tc>
        <w:tc>
          <w:tcPr>
            <w:tcW w:w="1469" w:type="dxa"/>
            <w:gridSpan w:val="4"/>
            <w:tcBorders/>
            <w:vAlign w:val="center"/>
          </w:tcPr>
          <w:p>
            <w:pPr>
              <w:pStyle w:val="TableContents"/>
              <w:bidi w:val="0"/>
              <w:spacing w:before="0" w:after="283"/>
              <w:jc w:val="left"/>
              <w:rPr>
                <w:sz w:val="4"/>
                <w:szCs w:val="4"/>
              </w:rPr>
            </w:pPr>
            <w:r>
              <w:rPr>
                <w:sz w:val="4"/>
                <w:szCs w:val="4"/>
              </w:rPr>
            </w:r>
          </w:p>
        </w:tc>
        <w:tc>
          <w:tcPr>
            <w:tcW w:w="1176" w:type="dxa"/>
            <w:gridSpan w:val="4"/>
            <w:tcBorders/>
            <w:vAlign w:val="center"/>
          </w:tcPr>
          <w:p>
            <w:pPr>
              <w:pStyle w:val="TableContents"/>
              <w:bidi w:val="0"/>
              <w:spacing w:before="0" w:after="283"/>
              <w:jc w:val="left"/>
              <w:rPr>
                <w:sz w:val="4"/>
                <w:szCs w:val="4"/>
              </w:rPr>
            </w:pPr>
            <w:r>
              <w:rPr>
                <w:sz w:val="4"/>
                <w:szCs w:val="4"/>
              </w:rPr>
            </w:r>
          </w:p>
        </w:tc>
        <w:tc>
          <w:tcPr>
            <w:tcW w:w="180"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c>
          <w:tcPr>
            <w:tcW w:w="1825" w:type="dxa"/>
            <w:gridSpan w:val="4"/>
            <w:tcBorders/>
            <w:vAlign w:val="center"/>
          </w:tcPr>
          <w:p>
            <w:pPr>
              <w:pStyle w:val="TableContents"/>
              <w:bidi w:val="0"/>
              <w:spacing w:before="0" w:after="283"/>
              <w:jc w:val="left"/>
              <w:rPr>
                <w:sz w:val="4"/>
                <w:szCs w:val="4"/>
              </w:rPr>
            </w:pPr>
            <w:r>
              <w:rPr>
                <w:sz w:val="4"/>
                <w:szCs w:val="4"/>
              </w:rPr>
            </w:r>
          </w:p>
        </w:tc>
        <w:tc>
          <w:tcPr>
            <w:tcW w:w="1630" w:type="dxa"/>
            <w:gridSpan w:val="4"/>
            <w:tcBorders/>
            <w:vAlign w:val="center"/>
          </w:tcPr>
          <w:p>
            <w:pPr>
              <w:pStyle w:val="TableContents"/>
              <w:bidi w:val="0"/>
              <w:spacing w:before="0" w:after="283"/>
              <w:jc w:val="left"/>
              <w:rPr>
                <w:sz w:val="4"/>
                <w:szCs w:val="4"/>
              </w:rPr>
            </w:pPr>
            <w:r>
              <w:rPr>
                <w:sz w:val="4"/>
                <w:szCs w:val="4"/>
              </w:rPr>
            </w:r>
          </w:p>
        </w:tc>
      </w:tr>
      <w:tr>
        <w:trPr/>
        <w:tc>
          <w:tcPr>
            <w:tcW w:w="1010" w:type="dxa"/>
            <w:tcBorders/>
          </w:tcPr>
          <w:p>
            <w:pPr>
              <w:pStyle w:val="TableContents"/>
              <w:bidi w:val="0"/>
              <w:spacing w:before="0" w:after="0"/>
              <w:jc w:val="left"/>
              <w:rPr>
                <w:rFonts w:ascii="Times New Roman" w:hAnsi="Times New Roman"/>
                <w:sz w:val="17"/>
              </w:rPr>
            </w:pPr>
            <w:r>
              <w:rPr>
                <w:rFonts w:ascii="Times New Roman" w:hAnsi="Times New Roman"/>
                <w:sz w:val="17"/>
              </w:rPr>
              <w:t>Balance at December 31, 2025</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199,902,270</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06" w:type="dxa"/>
            <w:tcBorders/>
            <w:vAlign w:val="bottom"/>
          </w:tcPr>
          <w:p>
            <w:pPr>
              <w:pStyle w:val="TableContents"/>
              <w:bidi w:val="0"/>
              <w:spacing w:before="0" w:after="283"/>
              <w:jc w:val="right"/>
              <w:rPr/>
            </w:pPr>
            <w:r>
              <w:rPr/>
              <w:t>258,226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4,507,108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62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880" w:type="dxa"/>
            <w:tcBorders/>
            <w:vAlign w:val="bottom"/>
          </w:tcPr>
          <w:p>
            <w:pPr>
              <w:pStyle w:val="TableContents"/>
              <w:bidi w:val="0"/>
              <w:spacing w:before="0" w:after="283"/>
              <w:jc w:val="right"/>
              <w:rPr/>
            </w:pPr>
            <w:r>
              <w:rPr/>
              <w:t>3,474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192" w:type="dxa"/>
            <w:tcBorders/>
            <w:vAlign w:val="bottom"/>
          </w:tcPr>
          <w:p>
            <w:pPr>
              <w:pStyle w:val="TableContents"/>
              <w:bidi w:val="0"/>
              <w:spacing w:before="0" w:after="283"/>
              <w:jc w:val="right"/>
              <w:rPr/>
            </w:pPr>
            <w:r>
              <w:rPr/>
              <w:t> </w:t>
            </w:r>
            <w:r>
              <w:rPr/>
              <w:t>(111,010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w:t>
            </w:r>
          </w:p>
        </w:tc>
        <w:tc>
          <w:tcPr>
            <w:tcW w:w="1232" w:type="dxa"/>
            <w:tcBorders/>
            <w:vAlign w:val="bottom"/>
          </w:tcPr>
          <w:p>
            <w:pPr>
              <w:pStyle w:val="TableContents"/>
              <w:bidi w:val="0"/>
              <w:spacing w:before="0" w:after="283"/>
              <w:jc w:val="right"/>
              <w:rPr/>
            </w:pPr>
            <w:r>
              <w:rPr/>
              <w:t>99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231" w:type="dxa"/>
            <w:tcBorders/>
            <w:vAlign w:val="bottom"/>
          </w:tcPr>
          <w:p>
            <w:pPr>
              <w:pStyle w:val="TableContents"/>
              <w:bidi w:val="0"/>
              <w:spacing w:before="0" w:after="283"/>
              <w:jc w:val="right"/>
              <w:rPr/>
            </w:pPr>
            <w:r>
              <w:rPr/>
              <w:t> </w:t>
            </w:r>
            <w:r>
              <w:rPr/>
              <w:t>(107,436</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Stock-based compensation expense</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686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686</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7"/>
              </w:rPr>
            </w:pPr>
            <w:r>
              <w:rPr>
                <w:rFonts w:ascii="Times New Roman" w:hAnsi="Times New Roman"/>
                <w:sz w:val="17"/>
              </w:rPr>
              <w:t>Issuance of common stock upon exercise of stock options</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3,933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Vesting of early exercised stock options</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7"/>
              </w:rPr>
            </w:pPr>
            <w:r>
              <w:rPr>
                <w:rFonts w:ascii="Times New Roman" w:hAnsi="Times New Roman"/>
                <w:sz w:val="17"/>
              </w:rPr>
              <w:t>Unrealized loss on marketable securities, net</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(126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(126</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Net loss</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(18,656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(18,656</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28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b/>
                <w:sz w:val="17"/>
              </w:rPr>
            </w:pPr>
            <w:r>
              <w:rPr>
                <w:rFonts w:ascii="Times New Roman" w:hAnsi="Times New Roman"/>
                <w:b/>
                <w:sz w:val="17"/>
              </w:rPr>
              <w:t>Balance at March 31, 2026</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199,902,270</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06" w:type="dxa"/>
            <w:tcBorders/>
            <w:vAlign w:val="bottom"/>
          </w:tcPr>
          <w:p>
            <w:pPr>
              <w:pStyle w:val="TableContents"/>
              <w:bidi w:val="0"/>
              <w:spacing w:before="0" w:after="283"/>
              <w:jc w:val="right"/>
              <w:rPr/>
            </w:pPr>
            <w:r>
              <w:rPr/>
              <w:t>258,226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4,511,041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62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880" w:type="dxa"/>
            <w:tcBorders/>
            <w:vAlign w:val="bottom"/>
          </w:tcPr>
          <w:p>
            <w:pPr>
              <w:pStyle w:val="TableContents"/>
              <w:bidi w:val="0"/>
              <w:spacing w:before="0" w:after="283"/>
              <w:jc w:val="right"/>
              <w:rPr/>
            </w:pPr>
            <w:r>
              <w:rPr/>
              <w:t>4,177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192" w:type="dxa"/>
            <w:tcBorders/>
            <w:vAlign w:val="bottom"/>
          </w:tcPr>
          <w:p>
            <w:pPr>
              <w:pStyle w:val="TableContents"/>
              <w:bidi w:val="0"/>
              <w:spacing w:before="0" w:after="283"/>
              <w:jc w:val="right"/>
              <w:rPr/>
            </w:pPr>
            <w:r>
              <w:rPr/>
              <w:t> </w:t>
            </w:r>
            <w:r>
              <w:rPr/>
              <w:t>(129,666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w:t>
            </w:r>
          </w:p>
        </w:tc>
        <w:tc>
          <w:tcPr>
            <w:tcW w:w="1232" w:type="dxa"/>
            <w:tcBorders/>
            <w:vAlign w:val="bottom"/>
          </w:tcPr>
          <w:p>
            <w:pPr>
              <w:pStyle w:val="TableContents"/>
              <w:bidi w:val="0"/>
              <w:spacing w:before="0" w:after="283"/>
              <w:jc w:val="right"/>
              <w:rPr/>
            </w:pPr>
            <w:r>
              <w:rPr/>
              <w:t> </w:t>
            </w:r>
            <w:r>
              <w:rPr/>
              <w:t>(27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231" w:type="dxa"/>
            <w:tcBorders/>
            <w:vAlign w:val="bottom"/>
          </w:tcPr>
          <w:p>
            <w:pPr>
              <w:pStyle w:val="TableContents"/>
              <w:bidi w:val="0"/>
              <w:spacing w:before="0" w:after="283"/>
              <w:jc w:val="right"/>
              <w:rPr/>
            </w:pPr>
            <w:r>
              <w:rPr/>
              <w:t> </w:t>
            </w:r>
            <w:r>
              <w:rPr/>
              <w:t>(125,515</w:t>
            </w:r>
          </w:p>
        </w:tc>
        <w:tc>
          <w:tcPr>
            <w:tcW w:w="155" w:type="dxa"/>
            <w:tcBorders/>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double" w:sz="6" w:space="1" w:color="000000"/>
              </w:pBdr>
              <w:bidi w:val="0"/>
              <w:spacing w:before="0" w:after="0"/>
              <w:jc w:val="left"/>
              <w:rPr/>
            </w:pPr>
            <w:r>
              <w:rPr/>
              <w:t> </w:t>
            </w:r>
          </w:p>
        </w:tc>
        <w:tc>
          <w:tcPr>
            <w:tcW w:w="128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119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12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23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bookmarkStart w:id="34" w:name="fin40469_10"/>
      <w:bookmarkEnd w:id="34"/>
      <w:r>
        <w:rPr>
          <w:rFonts w:ascii="Times New Roman" w:hAnsi="Times New Roman"/>
          <w:b/>
          <w:sz w:val="20"/>
        </w:rPr>
        <w:t xml:space="preserve">Condensed Consolidated Statements of Cash Flows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51"/>
        <w:gridCol w:w="230"/>
        <w:gridCol w:w="140"/>
        <w:gridCol w:w="869"/>
        <w:gridCol w:w="164"/>
        <w:gridCol w:w="198"/>
        <w:gridCol w:w="140"/>
        <w:gridCol w:w="845"/>
        <w:gridCol w:w="168"/>
      </w:tblGrid>
      <w:tr>
        <w:trPr/>
        <w:tc>
          <w:tcPr>
            <w:tcW w:w="7451"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451"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35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r>
          </w:p>
        </w:tc>
        <w:tc>
          <w:tcPr>
            <w:tcW w:w="168" w:type="dxa"/>
            <w:tcBorders/>
            <w:vAlign w:val="bottom"/>
          </w:tcPr>
          <w:p>
            <w:pPr>
              <w:pStyle w:val="TableContents"/>
              <w:bidi w:val="0"/>
              <w:spacing w:before="0" w:after="283"/>
              <w:jc w:val="left"/>
              <w:rPr/>
            </w:pPr>
            <w:r>
              <w:rPr/>
              <w:t> </w:t>
            </w:r>
          </w:p>
        </w:tc>
      </w:tr>
      <w:tr>
        <w:trPr/>
        <w:tc>
          <w:tcPr>
            <w:tcW w:w="7451"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9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8" w:type="dxa"/>
            <w:tcBorders/>
            <w:vAlign w:val="bottom"/>
          </w:tcPr>
          <w:p>
            <w:pPr>
              <w:pStyle w:val="TableContents"/>
              <w:bidi w:val="0"/>
              <w:spacing w:before="0" w:after="283"/>
              <w:jc w:val="left"/>
              <w:rPr/>
            </w:pPr>
            <w:r>
              <w:rPr/>
              <w:t> </w:t>
            </w:r>
          </w:p>
        </w:tc>
      </w:tr>
      <w:tr>
        <w:trPr/>
        <w:tc>
          <w:tcPr>
            <w:tcW w:w="7451" w:type="dxa"/>
            <w:tcBorders/>
            <w:shd w:fill="CCEEFF" w:val="clear"/>
          </w:tcPr>
          <w:p>
            <w:pPr>
              <w:pStyle w:val="TableContents"/>
              <w:bidi w:val="0"/>
              <w:spacing w:before="0" w:after="0"/>
              <w:jc w:val="left"/>
              <w:rPr>
                <w:rFonts w:ascii="Times New Roman" w:hAnsi="Times New Roman"/>
                <w:b/>
                <w:sz w:val="19"/>
              </w:rPr>
            </w:pPr>
            <w:r>
              <w:rPr>
                <w:rFonts w:ascii="Times New Roman" w:hAnsi="Times New Roman"/>
                <w:b/>
                <w:sz w:val="19"/>
              </w:rPr>
              <w:t>Cash flows from operating activities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9"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5"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7451" w:type="dxa"/>
            <w:tcBorders/>
          </w:tcPr>
          <w:p>
            <w:pPr>
              <w:pStyle w:val="TableContents"/>
              <w:bidi w:val="0"/>
              <w:spacing w:before="0" w:after="0"/>
              <w:jc w:val="left"/>
              <w:rPr>
                <w:rFonts w:ascii="Times New Roman" w:hAnsi="Times New Roman"/>
                <w:sz w:val="19"/>
              </w:rPr>
            </w:pPr>
            <w:r>
              <w:rPr>
                <w:rFonts w:ascii="Times New Roman" w:hAnsi="Times New Roman"/>
                <w:sz w:val="19"/>
              </w:rPr>
              <w:t>Net loss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9" w:type="dxa"/>
            <w:tcBorders/>
            <w:vAlign w:val="bottom"/>
          </w:tcPr>
          <w:p>
            <w:pPr>
              <w:pStyle w:val="TableContents"/>
              <w:bidi w:val="0"/>
              <w:spacing w:before="0" w:after="283"/>
              <w:jc w:val="right"/>
              <w:rPr/>
            </w:pPr>
            <w:r>
              <w:rPr/>
              <w:t> </w:t>
            </w:r>
            <w:r>
              <w:rPr/>
              <w:t>(15,151</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5" w:type="dxa"/>
            <w:tcBorders/>
            <w:vAlign w:val="bottom"/>
          </w:tcPr>
          <w:p>
            <w:pPr>
              <w:pStyle w:val="TableContents"/>
              <w:bidi w:val="0"/>
              <w:spacing w:before="0" w:after="283"/>
              <w:jc w:val="right"/>
              <w:rPr/>
            </w:pPr>
            <w:r>
              <w:rPr/>
              <w:t> </w:t>
            </w:r>
            <w:r>
              <w:rPr/>
              <w:t>(18,656</w:t>
            </w:r>
          </w:p>
        </w:tc>
        <w:tc>
          <w:tcPr>
            <w:tcW w:w="168" w:type="dxa"/>
            <w:tcBorders/>
            <w:vAlign w:val="bottom"/>
          </w:tcPr>
          <w:p>
            <w:pPr>
              <w:pStyle w:val="TableContents"/>
              <w:bidi w:val="0"/>
              <w:spacing w:before="0" w:after="283"/>
              <w:jc w:val="left"/>
              <w:rPr/>
            </w:pPr>
            <w:r>
              <w:rPr/>
              <w:t>) </w:t>
            </w:r>
          </w:p>
        </w:tc>
      </w:tr>
      <w:tr>
        <w:trPr/>
        <w:tc>
          <w:tcPr>
            <w:tcW w:w="7451"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Adjustments to reconcile net loss to net cash used in operating activities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9"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5"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7451" w:type="dxa"/>
            <w:tcBorders/>
          </w:tcPr>
          <w:p>
            <w:pPr>
              <w:pStyle w:val="TableContents"/>
              <w:bidi w:val="0"/>
              <w:spacing w:before="0" w:after="0"/>
              <w:jc w:val="left"/>
              <w:rPr>
                <w:rFonts w:ascii="Times New Roman" w:hAnsi="Times New Roman"/>
                <w:sz w:val="19"/>
              </w:rPr>
            </w:pPr>
            <w:r>
              <w:rPr>
                <w:rFonts w:ascii="Times New Roman" w:hAnsi="Times New Roman"/>
                <w:sz w:val="19"/>
              </w:rPr>
              <w:t>Stock-based compensation expense</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462</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686</w:t>
            </w:r>
          </w:p>
        </w:tc>
        <w:tc>
          <w:tcPr>
            <w:tcW w:w="168" w:type="dxa"/>
            <w:tcBorders/>
            <w:vAlign w:val="bottom"/>
          </w:tcPr>
          <w:p>
            <w:pPr>
              <w:pStyle w:val="TableContents"/>
              <w:bidi w:val="0"/>
              <w:spacing w:before="0" w:after="283"/>
              <w:jc w:val="left"/>
              <w:rPr/>
            </w:pPr>
            <w:r>
              <w:rPr/>
              <w:t> </w:t>
            </w:r>
          </w:p>
        </w:tc>
      </w:tr>
      <w:tr>
        <w:trPr/>
        <w:tc>
          <w:tcPr>
            <w:tcW w:w="7451"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Depreciation expense</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143</w:t>
            </w:r>
          </w:p>
        </w:tc>
        <w:tc>
          <w:tcPr>
            <w:tcW w:w="16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242</w:t>
            </w:r>
          </w:p>
        </w:tc>
        <w:tc>
          <w:tcPr>
            <w:tcW w:w="168" w:type="dxa"/>
            <w:tcBorders/>
            <w:shd w:fill="CCEEFF" w:val="clear"/>
            <w:vAlign w:val="bottom"/>
          </w:tcPr>
          <w:p>
            <w:pPr>
              <w:pStyle w:val="TableContents"/>
              <w:bidi w:val="0"/>
              <w:spacing w:before="0" w:after="283"/>
              <w:jc w:val="left"/>
              <w:rPr/>
            </w:pPr>
            <w:r>
              <w:rPr/>
              <w:t> </w:t>
            </w:r>
          </w:p>
        </w:tc>
      </w:tr>
      <w:tr>
        <w:trPr/>
        <w:tc>
          <w:tcPr>
            <w:tcW w:w="7451" w:type="dxa"/>
            <w:tcBorders/>
          </w:tcPr>
          <w:p>
            <w:pPr>
              <w:pStyle w:val="TableContents"/>
              <w:bidi w:val="0"/>
              <w:spacing w:before="0" w:after="0"/>
              <w:jc w:val="left"/>
              <w:rPr>
                <w:rFonts w:ascii="Times New Roman" w:hAnsi="Times New Roman"/>
                <w:sz w:val="19"/>
              </w:rPr>
            </w:pPr>
            <w:r>
              <w:rPr>
                <w:rFonts w:ascii="Times New Roman" w:hAnsi="Times New Roman"/>
                <w:sz w:val="19"/>
              </w:rPr>
              <w:t>Net accretion of discounts on marketable securities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(406</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(265</w:t>
            </w:r>
          </w:p>
        </w:tc>
        <w:tc>
          <w:tcPr>
            <w:tcW w:w="168" w:type="dxa"/>
            <w:tcBorders/>
            <w:vAlign w:val="bottom"/>
          </w:tcPr>
          <w:p>
            <w:pPr>
              <w:pStyle w:val="TableContents"/>
              <w:bidi w:val="0"/>
              <w:spacing w:before="0" w:after="283"/>
              <w:jc w:val="left"/>
              <w:rPr/>
            </w:pPr>
            <w:r>
              <w:rPr/>
              <w:t>) </w:t>
            </w:r>
          </w:p>
        </w:tc>
      </w:tr>
      <w:tr>
        <w:trPr/>
        <w:tc>
          <w:tcPr>
            <w:tcW w:w="7451"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Non-cash lease expense</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253</w:t>
            </w:r>
          </w:p>
        </w:tc>
        <w:tc>
          <w:tcPr>
            <w:tcW w:w="16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393</w:t>
            </w:r>
          </w:p>
        </w:tc>
        <w:tc>
          <w:tcPr>
            <w:tcW w:w="168" w:type="dxa"/>
            <w:tcBorders/>
            <w:shd w:fill="CCEEFF" w:val="clear"/>
            <w:vAlign w:val="bottom"/>
          </w:tcPr>
          <w:p>
            <w:pPr>
              <w:pStyle w:val="TableContents"/>
              <w:bidi w:val="0"/>
              <w:spacing w:before="0" w:after="283"/>
              <w:jc w:val="left"/>
              <w:rPr/>
            </w:pPr>
            <w:r>
              <w:rPr/>
              <w:t> </w:t>
            </w:r>
          </w:p>
        </w:tc>
      </w:tr>
      <w:tr>
        <w:trPr/>
        <w:tc>
          <w:tcPr>
            <w:tcW w:w="7451" w:type="dxa"/>
            <w:tcBorders/>
          </w:tcPr>
          <w:p>
            <w:pPr>
              <w:pStyle w:val="TableContents"/>
              <w:bidi w:val="0"/>
              <w:spacing w:before="0" w:after="0"/>
              <w:jc w:val="left"/>
              <w:rPr>
                <w:rFonts w:ascii="Times New Roman" w:hAnsi="Times New Roman"/>
                <w:sz w:val="19"/>
              </w:rPr>
            </w:pPr>
            <w:r>
              <w:rPr>
                <w:rFonts w:ascii="Times New Roman" w:hAnsi="Times New Roman"/>
                <w:sz w:val="19"/>
              </w:rPr>
              <w:t>Change in fair value of preferred stock tranche liability</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170</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r>
      <w:tr>
        <w:trPr/>
        <w:tc>
          <w:tcPr>
            <w:tcW w:w="7451"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Loss on disposal of property and equipment</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6</w:t>
            </w:r>
          </w:p>
        </w:tc>
        <w:tc>
          <w:tcPr>
            <w:tcW w:w="16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7451" w:type="dxa"/>
            <w:tcBorders/>
          </w:tcPr>
          <w:p>
            <w:pPr>
              <w:pStyle w:val="TableContents"/>
              <w:bidi w:val="0"/>
              <w:spacing w:before="0" w:after="0"/>
              <w:jc w:val="left"/>
              <w:rPr>
                <w:rFonts w:ascii="Times New Roman" w:hAnsi="Times New Roman"/>
                <w:sz w:val="19"/>
              </w:rPr>
            </w:pPr>
            <w:r>
              <w:rPr>
                <w:rFonts w:ascii="Times New Roman" w:hAnsi="Times New Roman"/>
                <w:sz w:val="19"/>
              </w:rPr>
              <w:t>Write-off of deferred offering costs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364</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r>
      <w:tr>
        <w:trPr/>
        <w:tc>
          <w:tcPr>
            <w:tcW w:w="7451"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Changes in operating assets and liabilities: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9"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5"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7451" w:type="dxa"/>
            <w:tcBorders/>
          </w:tcPr>
          <w:p>
            <w:pPr>
              <w:pStyle w:val="TableContents"/>
              <w:bidi w:val="0"/>
              <w:spacing w:before="0" w:after="0"/>
              <w:jc w:val="left"/>
              <w:rPr>
                <w:rFonts w:ascii="Times New Roman" w:hAnsi="Times New Roman"/>
                <w:sz w:val="19"/>
              </w:rPr>
            </w:pPr>
            <w:r>
              <w:rPr>
                <w:rFonts w:ascii="Times New Roman" w:hAnsi="Times New Roman"/>
                <w:sz w:val="19"/>
              </w:rPr>
              <w:t>Prepaid expenses and other current assets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1,249</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122</w:t>
            </w:r>
          </w:p>
        </w:tc>
        <w:tc>
          <w:tcPr>
            <w:tcW w:w="168" w:type="dxa"/>
            <w:tcBorders/>
            <w:vAlign w:val="bottom"/>
          </w:tcPr>
          <w:p>
            <w:pPr>
              <w:pStyle w:val="TableContents"/>
              <w:bidi w:val="0"/>
              <w:spacing w:before="0" w:after="283"/>
              <w:jc w:val="left"/>
              <w:rPr/>
            </w:pPr>
            <w:r>
              <w:rPr/>
              <w:t> </w:t>
            </w:r>
          </w:p>
        </w:tc>
      </w:tr>
      <w:tr>
        <w:trPr/>
        <w:tc>
          <w:tcPr>
            <w:tcW w:w="7451"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Accounts payable</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186</w:t>
            </w:r>
          </w:p>
        </w:tc>
        <w:tc>
          <w:tcPr>
            <w:tcW w:w="16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(113</w:t>
            </w:r>
          </w:p>
        </w:tc>
        <w:tc>
          <w:tcPr>
            <w:tcW w:w="168" w:type="dxa"/>
            <w:tcBorders/>
            <w:shd w:fill="CCEEFF" w:val="clear"/>
            <w:vAlign w:val="bottom"/>
          </w:tcPr>
          <w:p>
            <w:pPr>
              <w:pStyle w:val="TableContents"/>
              <w:bidi w:val="0"/>
              <w:spacing w:before="0" w:after="283"/>
              <w:jc w:val="left"/>
              <w:rPr/>
            </w:pPr>
            <w:r>
              <w:rPr/>
              <w:t>) </w:t>
            </w:r>
          </w:p>
        </w:tc>
      </w:tr>
      <w:tr>
        <w:trPr/>
        <w:tc>
          <w:tcPr>
            <w:tcW w:w="7451" w:type="dxa"/>
            <w:tcBorders/>
          </w:tcPr>
          <w:p>
            <w:pPr>
              <w:pStyle w:val="TableContents"/>
              <w:bidi w:val="0"/>
              <w:spacing w:before="0" w:after="0"/>
              <w:jc w:val="left"/>
              <w:rPr>
                <w:rFonts w:ascii="Times New Roman" w:hAnsi="Times New Roman"/>
                <w:sz w:val="19"/>
              </w:rPr>
            </w:pPr>
            <w:r>
              <w:rPr>
                <w:rFonts w:ascii="Times New Roman" w:hAnsi="Times New Roman"/>
                <w:sz w:val="19"/>
              </w:rPr>
              <w:t>Accrued and other current liabilities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(1,209</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(103</w:t>
            </w:r>
          </w:p>
        </w:tc>
        <w:tc>
          <w:tcPr>
            <w:tcW w:w="168" w:type="dxa"/>
            <w:tcBorders/>
            <w:vAlign w:val="bottom"/>
          </w:tcPr>
          <w:p>
            <w:pPr>
              <w:pStyle w:val="TableContents"/>
              <w:bidi w:val="0"/>
              <w:spacing w:before="0" w:after="283"/>
              <w:jc w:val="left"/>
              <w:rPr/>
            </w:pPr>
            <w:r>
              <w:rPr/>
              <w:t>) </w:t>
            </w:r>
          </w:p>
        </w:tc>
      </w:tr>
      <w:tr>
        <w:trPr/>
        <w:tc>
          <w:tcPr>
            <w:tcW w:w="7451"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Operating lease liability</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(12</w:t>
            </w:r>
          </w:p>
        </w:tc>
        <w:tc>
          <w:tcPr>
            <w:tcW w:w="16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(458</w:t>
            </w:r>
          </w:p>
        </w:tc>
        <w:tc>
          <w:tcPr>
            <w:tcW w:w="168" w:type="dxa"/>
            <w:tcBorders/>
            <w:shd w:fill="CCEEFF" w:val="clear"/>
            <w:vAlign w:val="bottom"/>
          </w:tcPr>
          <w:p>
            <w:pPr>
              <w:pStyle w:val="TableContents"/>
              <w:bidi w:val="0"/>
              <w:spacing w:before="0" w:after="283"/>
              <w:jc w:val="left"/>
              <w:rPr/>
            </w:pPr>
            <w:r>
              <w:rPr/>
              <w:t>) </w:t>
            </w:r>
          </w:p>
        </w:tc>
      </w:tr>
      <w:tr>
        <w:trPr/>
        <w:tc>
          <w:tcPr>
            <w:tcW w:w="7451" w:type="dxa"/>
            <w:tcBorders/>
          </w:tcPr>
          <w:p>
            <w:pPr>
              <w:pStyle w:val="TableContents"/>
              <w:bidi w:val="0"/>
              <w:spacing w:before="0" w:after="0"/>
              <w:jc w:val="left"/>
              <w:rPr>
                <w:rFonts w:ascii="Times New Roman" w:hAnsi="Times New Roman"/>
                <w:sz w:val="19"/>
              </w:rPr>
            </w:pPr>
            <w:r>
              <w:rPr>
                <w:rFonts w:ascii="Times New Roman" w:hAnsi="Times New Roman"/>
                <w:sz w:val="19"/>
              </w:rPr>
              <w:t>Other non-current assets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(186</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11</w:t>
            </w:r>
          </w:p>
        </w:tc>
        <w:tc>
          <w:tcPr>
            <w:tcW w:w="168" w:type="dxa"/>
            <w:tcBorders/>
            <w:vAlign w:val="bottom"/>
          </w:tcPr>
          <w:p>
            <w:pPr>
              <w:pStyle w:val="TableContents"/>
              <w:bidi w:val="0"/>
              <w:spacing w:before="0" w:after="283"/>
              <w:jc w:val="left"/>
              <w:rPr/>
            </w:pPr>
            <w:r>
              <w:rPr/>
              <w:t> </w:t>
            </w:r>
          </w:p>
        </w:tc>
      </w:tr>
      <w:tr>
        <w:trPr/>
        <w:tc>
          <w:tcPr>
            <w:tcW w:w="7451"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5"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451"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Net cash used in operating activities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(14,131</w:t>
            </w:r>
          </w:p>
        </w:tc>
        <w:tc>
          <w:tcPr>
            <w:tcW w:w="16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(18,141</w:t>
            </w:r>
          </w:p>
        </w:tc>
        <w:tc>
          <w:tcPr>
            <w:tcW w:w="168" w:type="dxa"/>
            <w:tcBorders/>
            <w:shd w:fill="CCEEFF" w:val="clear"/>
            <w:vAlign w:val="bottom"/>
          </w:tcPr>
          <w:p>
            <w:pPr>
              <w:pStyle w:val="TableContents"/>
              <w:bidi w:val="0"/>
              <w:spacing w:before="0" w:after="283"/>
              <w:jc w:val="left"/>
              <w:rPr/>
            </w:pPr>
            <w:r>
              <w:rPr/>
              <w:t>) </w:t>
            </w:r>
          </w:p>
        </w:tc>
      </w:tr>
      <w:tr>
        <w:trPr/>
        <w:tc>
          <w:tcPr>
            <w:tcW w:w="7451"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5"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451" w:type="dxa"/>
            <w:tcBorders/>
          </w:tcPr>
          <w:p>
            <w:pPr>
              <w:pStyle w:val="TableContents"/>
              <w:bidi w:val="0"/>
              <w:spacing w:before="0" w:after="0"/>
              <w:jc w:val="left"/>
              <w:rPr>
                <w:rFonts w:ascii="Times New Roman" w:hAnsi="Times New Roman"/>
                <w:b/>
                <w:sz w:val="19"/>
              </w:rPr>
            </w:pPr>
            <w:r>
              <w:rPr>
                <w:rFonts w:ascii="Times New Roman" w:hAnsi="Times New Roman"/>
                <w:b/>
                <w:sz w:val="19"/>
              </w:rPr>
              <w:t>Cash flows from investing activities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6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4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7451"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Maturities of marketable securities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18,000</w:t>
            </w:r>
          </w:p>
        </w:tc>
        <w:tc>
          <w:tcPr>
            <w:tcW w:w="16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43,000</w:t>
            </w:r>
          </w:p>
        </w:tc>
        <w:tc>
          <w:tcPr>
            <w:tcW w:w="168" w:type="dxa"/>
            <w:tcBorders/>
            <w:shd w:fill="CCEEFF" w:val="clear"/>
            <w:vAlign w:val="bottom"/>
          </w:tcPr>
          <w:p>
            <w:pPr>
              <w:pStyle w:val="TableContents"/>
              <w:bidi w:val="0"/>
              <w:spacing w:before="0" w:after="283"/>
              <w:jc w:val="left"/>
              <w:rPr/>
            </w:pPr>
            <w:r>
              <w:rPr/>
              <w:t> </w:t>
            </w:r>
          </w:p>
        </w:tc>
      </w:tr>
      <w:tr>
        <w:trPr/>
        <w:tc>
          <w:tcPr>
            <w:tcW w:w="7451" w:type="dxa"/>
            <w:tcBorders/>
          </w:tcPr>
          <w:p>
            <w:pPr>
              <w:pStyle w:val="TableContents"/>
              <w:bidi w:val="0"/>
              <w:spacing w:before="0" w:after="0"/>
              <w:jc w:val="left"/>
              <w:rPr>
                <w:rFonts w:ascii="Times New Roman" w:hAnsi="Times New Roman"/>
                <w:sz w:val="19"/>
              </w:rPr>
            </w:pPr>
            <w:r>
              <w:rPr>
                <w:rFonts w:ascii="Times New Roman" w:hAnsi="Times New Roman"/>
                <w:sz w:val="19"/>
              </w:rPr>
              <w:t>Purchases of marketable securities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(45,502</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(20,226</w:t>
            </w:r>
          </w:p>
        </w:tc>
        <w:tc>
          <w:tcPr>
            <w:tcW w:w="168" w:type="dxa"/>
            <w:tcBorders/>
            <w:vAlign w:val="bottom"/>
          </w:tcPr>
          <w:p>
            <w:pPr>
              <w:pStyle w:val="TableContents"/>
              <w:bidi w:val="0"/>
              <w:spacing w:before="0" w:after="283"/>
              <w:jc w:val="left"/>
              <w:rPr/>
            </w:pPr>
            <w:r>
              <w:rPr/>
              <w:t>) </w:t>
            </w:r>
          </w:p>
        </w:tc>
      </w:tr>
      <w:tr>
        <w:trPr/>
        <w:tc>
          <w:tcPr>
            <w:tcW w:w="7451"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Purchases of property and equipment</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(1,792</w:t>
            </w:r>
          </w:p>
        </w:tc>
        <w:tc>
          <w:tcPr>
            <w:tcW w:w="16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(288</w:t>
            </w:r>
          </w:p>
        </w:tc>
        <w:tc>
          <w:tcPr>
            <w:tcW w:w="168" w:type="dxa"/>
            <w:tcBorders/>
            <w:shd w:fill="CCEEFF" w:val="clear"/>
            <w:vAlign w:val="bottom"/>
          </w:tcPr>
          <w:p>
            <w:pPr>
              <w:pStyle w:val="TableContents"/>
              <w:bidi w:val="0"/>
              <w:spacing w:before="0" w:after="283"/>
              <w:jc w:val="left"/>
              <w:rPr/>
            </w:pPr>
            <w:r>
              <w:rPr/>
              <w:t>) </w:t>
            </w:r>
          </w:p>
        </w:tc>
      </w:tr>
      <w:tr>
        <w:trPr/>
        <w:tc>
          <w:tcPr>
            <w:tcW w:w="7451"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5"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451" w:type="dxa"/>
            <w:tcBorders/>
          </w:tcPr>
          <w:p>
            <w:pPr>
              <w:pStyle w:val="TableContents"/>
              <w:bidi w:val="0"/>
              <w:spacing w:before="0" w:after="0"/>
              <w:jc w:val="left"/>
              <w:rPr>
                <w:rFonts w:ascii="Times New Roman" w:hAnsi="Times New Roman"/>
                <w:sz w:val="19"/>
              </w:rPr>
            </w:pPr>
            <w:r>
              <w:rPr>
                <w:rFonts w:ascii="Times New Roman" w:hAnsi="Times New Roman"/>
                <w:sz w:val="19"/>
              </w:rPr>
              <w:t>Net cash (used in) provided by investing activities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(29,294</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22,486</w:t>
            </w:r>
          </w:p>
        </w:tc>
        <w:tc>
          <w:tcPr>
            <w:tcW w:w="168" w:type="dxa"/>
            <w:tcBorders/>
            <w:vAlign w:val="bottom"/>
          </w:tcPr>
          <w:p>
            <w:pPr>
              <w:pStyle w:val="TableContents"/>
              <w:bidi w:val="0"/>
              <w:spacing w:before="0" w:after="283"/>
              <w:jc w:val="left"/>
              <w:rPr/>
            </w:pPr>
            <w:r>
              <w:rPr/>
              <w:t> </w:t>
            </w:r>
          </w:p>
        </w:tc>
      </w:tr>
      <w:tr>
        <w:trPr/>
        <w:tc>
          <w:tcPr>
            <w:tcW w:w="7451"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5"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451" w:type="dxa"/>
            <w:tcBorders/>
            <w:shd w:fill="CCEEFF" w:val="clear"/>
          </w:tcPr>
          <w:p>
            <w:pPr>
              <w:pStyle w:val="TableContents"/>
              <w:bidi w:val="0"/>
              <w:spacing w:before="0" w:after="0"/>
              <w:jc w:val="left"/>
              <w:rPr>
                <w:rFonts w:ascii="Times New Roman" w:hAnsi="Times New Roman"/>
                <w:b/>
                <w:sz w:val="19"/>
              </w:rPr>
            </w:pPr>
            <w:r>
              <w:rPr>
                <w:rFonts w:ascii="Times New Roman" w:hAnsi="Times New Roman"/>
                <w:b/>
                <w:sz w:val="19"/>
              </w:rPr>
              <w:t>Cash flows from financing activities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9"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5"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7451" w:type="dxa"/>
            <w:tcBorders/>
          </w:tcPr>
          <w:p>
            <w:pPr>
              <w:pStyle w:val="TableContents"/>
              <w:bidi w:val="0"/>
              <w:spacing w:before="0" w:after="0"/>
              <w:jc w:val="left"/>
              <w:rPr>
                <w:rFonts w:ascii="Times New Roman" w:hAnsi="Times New Roman"/>
                <w:sz w:val="19"/>
              </w:rPr>
            </w:pPr>
            <w:r>
              <w:rPr>
                <w:rFonts w:ascii="Times New Roman" w:hAnsi="Times New Roman"/>
                <w:sz w:val="19"/>
              </w:rPr>
              <w:t>Proceeds from issuance of common stock upon exercise of stock options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45</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11</w:t>
            </w:r>
          </w:p>
        </w:tc>
        <w:tc>
          <w:tcPr>
            <w:tcW w:w="168" w:type="dxa"/>
            <w:tcBorders/>
            <w:vAlign w:val="bottom"/>
          </w:tcPr>
          <w:p>
            <w:pPr>
              <w:pStyle w:val="TableContents"/>
              <w:bidi w:val="0"/>
              <w:spacing w:before="0" w:after="283"/>
              <w:jc w:val="left"/>
              <w:rPr/>
            </w:pPr>
            <w:r>
              <w:rPr/>
              <w:t> </w:t>
            </w:r>
          </w:p>
        </w:tc>
      </w:tr>
      <w:tr>
        <w:trPr/>
        <w:tc>
          <w:tcPr>
            <w:tcW w:w="7451"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Payments of deferred offering costs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(345</w:t>
            </w:r>
          </w:p>
        </w:tc>
        <w:tc>
          <w:tcPr>
            <w:tcW w:w="16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(1,252</w:t>
            </w:r>
          </w:p>
        </w:tc>
        <w:tc>
          <w:tcPr>
            <w:tcW w:w="168" w:type="dxa"/>
            <w:tcBorders/>
            <w:shd w:fill="CCEEFF" w:val="clear"/>
            <w:vAlign w:val="bottom"/>
          </w:tcPr>
          <w:p>
            <w:pPr>
              <w:pStyle w:val="TableContents"/>
              <w:bidi w:val="0"/>
              <w:spacing w:before="0" w:after="283"/>
              <w:jc w:val="left"/>
              <w:rPr/>
            </w:pPr>
            <w:r>
              <w:rPr/>
              <w:t>) </w:t>
            </w:r>
          </w:p>
        </w:tc>
      </w:tr>
      <w:tr>
        <w:trPr/>
        <w:tc>
          <w:tcPr>
            <w:tcW w:w="7451" w:type="dxa"/>
            <w:tcBorders/>
          </w:tcPr>
          <w:p>
            <w:pPr>
              <w:pStyle w:val="TableContents"/>
              <w:bidi w:val="0"/>
              <w:spacing w:before="0" w:after="0"/>
              <w:jc w:val="left"/>
              <w:rPr>
                <w:rFonts w:ascii="Times New Roman" w:hAnsi="Times New Roman"/>
                <w:sz w:val="19"/>
              </w:rPr>
            </w:pPr>
            <w:r>
              <w:rPr>
                <w:rFonts w:ascii="Times New Roman" w:hAnsi="Times New Roman"/>
                <w:sz w:val="19"/>
              </w:rPr>
              <w:t>Proceeds from issuance of Series B redeemable convertible preferred stock, net of issuance costs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52,465</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r>
      <w:tr>
        <w:trPr/>
        <w:tc>
          <w:tcPr>
            <w:tcW w:w="7451"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Proceeds from issuance of Series C redeemable convertible preferred stock, net of issuance costs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89,729</w:t>
            </w:r>
          </w:p>
        </w:tc>
        <w:tc>
          <w:tcPr>
            <w:tcW w:w="16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7451"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5"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451" w:type="dxa"/>
            <w:tcBorders/>
          </w:tcPr>
          <w:p>
            <w:pPr>
              <w:pStyle w:val="TableContents"/>
              <w:bidi w:val="0"/>
              <w:spacing w:before="0" w:after="0"/>
              <w:jc w:val="left"/>
              <w:rPr>
                <w:rFonts w:ascii="Times New Roman" w:hAnsi="Times New Roman"/>
                <w:sz w:val="19"/>
              </w:rPr>
            </w:pPr>
            <w:r>
              <w:rPr>
                <w:rFonts w:ascii="Times New Roman" w:hAnsi="Times New Roman"/>
                <w:sz w:val="19"/>
              </w:rPr>
              <w:t>Net cash provided by (used in) financing activities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141,894</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(1,241</w:t>
            </w:r>
          </w:p>
        </w:tc>
        <w:tc>
          <w:tcPr>
            <w:tcW w:w="168" w:type="dxa"/>
            <w:tcBorders/>
            <w:vAlign w:val="bottom"/>
          </w:tcPr>
          <w:p>
            <w:pPr>
              <w:pStyle w:val="TableContents"/>
              <w:bidi w:val="0"/>
              <w:spacing w:before="0" w:after="283"/>
              <w:jc w:val="left"/>
              <w:rPr/>
            </w:pPr>
            <w:r>
              <w:rPr/>
              <w:t>) </w:t>
            </w:r>
          </w:p>
        </w:tc>
      </w:tr>
      <w:tr>
        <w:trPr/>
        <w:tc>
          <w:tcPr>
            <w:tcW w:w="7451"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5"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451"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Net change in cash, cash equivalents and restricted cash</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98,469</w:t>
            </w:r>
          </w:p>
        </w:tc>
        <w:tc>
          <w:tcPr>
            <w:tcW w:w="16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3,104</w:t>
            </w:r>
          </w:p>
        </w:tc>
        <w:tc>
          <w:tcPr>
            <w:tcW w:w="168" w:type="dxa"/>
            <w:tcBorders/>
            <w:shd w:fill="CCEEFF" w:val="clear"/>
            <w:vAlign w:val="bottom"/>
          </w:tcPr>
          <w:p>
            <w:pPr>
              <w:pStyle w:val="TableContents"/>
              <w:bidi w:val="0"/>
              <w:spacing w:before="0" w:after="283"/>
              <w:jc w:val="left"/>
              <w:rPr/>
            </w:pPr>
            <w:r>
              <w:rPr/>
              <w:t> </w:t>
            </w:r>
          </w:p>
        </w:tc>
      </w:tr>
      <w:tr>
        <w:trPr/>
        <w:tc>
          <w:tcPr>
            <w:tcW w:w="7451" w:type="dxa"/>
            <w:tcBorders/>
          </w:tcPr>
          <w:p>
            <w:pPr>
              <w:pStyle w:val="TableContents"/>
              <w:bidi w:val="0"/>
              <w:spacing w:before="0" w:after="0"/>
              <w:jc w:val="left"/>
              <w:rPr>
                <w:rFonts w:ascii="Times New Roman" w:hAnsi="Times New Roman"/>
                <w:sz w:val="19"/>
              </w:rPr>
            </w:pPr>
            <w:r>
              <w:rPr>
                <w:rFonts w:ascii="Times New Roman" w:hAnsi="Times New Roman"/>
                <w:sz w:val="19"/>
              </w:rPr>
              <w:t>Cash, cash equivalents and restricted cash at the beginning of the period</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31,239</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40,597</w:t>
            </w:r>
          </w:p>
        </w:tc>
        <w:tc>
          <w:tcPr>
            <w:tcW w:w="168" w:type="dxa"/>
            <w:tcBorders/>
            <w:vAlign w:val="bottom"/>
          </w:tcPr>
          <w:p>
            <w:pPr>
              <w:pStyle w:val="TableContents"/>
              <w:bidi w:val="0"/>
              <w:spacing w:before="0" w:after="283"/>
              <w:jc w:val="left"/>
              <w:rPr/>
            </w:pPr>
            <w:r>
              <w:rPr/>
              <w:t> </w:t>
            </w:r>
          </w:p>
        </w:tc>
      </w:tr>
      <w:tr>
        <w:trPr/>
        <w:tc>
          <w:tcPr>
            <w:tcW w:w="7451"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5"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451"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Cash, cash equivalents and restricted cash at the end of the period</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9" w:type="dxa"/>
            <w:tcBorders/>
            <w:shd w:fill="CCEEFF" w:val="clear"/>
            <w:vAlign w:val="bottom"/>
          </w:tcPr>
          <w:p>
            <w:pPr>
              <w:pStyle w:val="TableContents"/>
              <w:bidi w:val="0"/>
              <w:spacing w:before="0" w:after="283"/>
              <w:jc w:val="right"/>
              <w:rPr/>
            </w:pPr>
            <w:r>
              <w:rPr/>
              <w:t>129,708</w:t>
            </w:r>
          </w:p>
        </w:tc>
        <w:tc>
          <w:tcPr>
            <w:tcW w:w="16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5" w:type="dxa"/>
            <w:tcBorders/>
            <w:shd w:fill="CCEEFF" w:val="clear"/>
            <w:vAlign w:val="bottom"/>
          </w:tcPr>
          <w:p>
            <w:pPr>
              <w:pStyle w:val="TableContents"/>
              <w:bidi w:val="0"/>
              <w:spacing w:before="0" w:after="283"/>
              <w:jc w:val="right"/>
              <w:rPr/>
            </w:pPr>
            <w:r>
              <w:rPr/>
              <w:t>43,701</w:t>
            </w:r>
          </w:p>
        </w:tc>
        <w:tc>
          <w:tcPr>
            <w:tcW w:w="168" w:type="dxa"/>
            <w:tcBorders/>
            <w:shd w:fill="CCEEFF" w:val="clear"/>
            <w:vAlign w:val="bottom"/>
          </w:tcPr>
          <w:p>
            <w:pPr>
              <w:pStyle w:val="TableContents"/>
              <w:bidi w:val="0"/>
              <w:spacing w:before="0" w:after="283"/>
              <w:jc w:val="left"/>
              <w:rPr/>
            </w:pPr>
            <w:r>
              <w:rPr/>
              <w:t> </w:t>
            </w:r>
          </w:p>
        </w:tc>
      </w:tr>
      <w:tr>
        <w:trPr/>
        <w:tc>
          <w:tcPr>
            <w:tcW w:w="7451"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9"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5"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451" w:type="dxa"/>
            <w:tcBorders/>
          </w:tcPr>
          <w:p>
            <w:pPr>
              <w:pStyle w:val="TableContents"/>
              <w:bidi w:val="0"/>
              <w:spacing w:before="0" w:after="0"/>
              <w:jc w:val="left"/>
              <w:rPr>
                <w:rFonts w:ascii="Times New Roman" w:hAnsi="Times New Roman"/>
                <w:b/>
                <w:sz w:val="19"/>
              </w:rPr>
            </w:pPr>
            <w:r>
              <w:rPr>
                <w:rFonts w:ascii="Times New Roman" w:hAnsi="Times New Roman"/>
                <w:b/>
                <w:sz w:val="19"/>
              </w:rPr>
              <w:t>Supplemental disclosures of noncash investing and financing activities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6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4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7451"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Deferred offering costs in accounts payable and accrued and other current liabilities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9" w:type="dxa"/>
            <w:tcBorders/>
            <w:shd w:fill="CCEEFF" w:val="clear"/>
            <w:vAlign w:val="bottom"/>
          </w:tcPr>
          <w:p>
            <w:pPr>
              <w:pStyle w:val="TableContents"/>
              <w:bidi w:val="0"/>
              <w:spacing w:before="0" w:after="283"/>
              <w:jc w:val="right"/>
              <w:rPr/>
            </w:pPr>
            <w:r>
              <w:rPr/>
              <w:t>30</w:t>
            </w:r>
          </w:p>
        </w:tc>
        <w:tc>
          <w:tcPr>
            <w:tcW w:w="16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5" w:type="dxa"/>
            <w:tcBorders/>
            <w:shd w:fill="CCEEFF" w:val="clear"/>
            <w:vAlign w:val="bottom"/>
          </w:tcPr>
          <w:p>
            <w:pPr>
              <w:pStyle w:val="TableContents"/>
              <w:bidi w:val="0"/>
              <w:spacing w:before="0" w:after="283"/>
              <w:jc w:val="right"/>
              <w:rPr/>
            </w:pPr>
            <w:r>
              <w:rPr/>
              <w:t>209</w:t>
            </w:r>
          </w:p>
        </w:tc>
        <w:tc>
          <w:tcPr>
            <w:tcW w:w="168" w:type="dxa"/>
            <w:tcBorders/>
            <w:shd w:fill="CCEEFF" w:val="clear"/>
            <w:vAlign w:val="bottom"/>
          </w:tcPr>
          <w:p>
            <w:pPr>
              <w:pStyle w:val="TableContents"/>
              <w:bidi w:val="0"/>
              <w:spacing w:before="0" w:after="283"/>
              <w:jc w:val="left"/>
              <w:rPr/>
            </w:pPr>
            <w:r>
              <w:rPr/>
              <w:t> </w:t>
            </w:r>
          </w:p>
        </w:tc>
      </w:tr>
      <w:tr>
        <w:trPr/>
        <w:tc>
          <w:tcPr>
            <w:tcW w:w="7451"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9"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5"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451" w:type="dxa"/>
            <w:tcBorders/>
          </w:tcPr>
          <w:p>
            <w:pPr>
              <w:pStyle w:val="TableContents"/>
              <w:bidi w:val="0"/>
              <w:spacing w:before="0" w:after="0"/>
              <w:jc w:val="left"/>
              <w:rPr>
                <w:rFonts w:ascii="Times New Roman" w:hAnsi="Times New Roman"/>
                <w:sz w:val="19"/>
              </w:rPr>
            </w:pPr>
            <w:r>
              <w:rPr>
                <w:rFonts w:ascii="Times New Roman" w:hAnsi="Times New Roman"/>
                <w:sz w:val="19"/>
              </w:rPr>
              <w:t>Property and equipment purchases in accounts payable</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9" w:type="dxa"/>
            <w:tcBorders/>
            <w:vAlign w:val="bottom"/>
          </w:tcPr>
          <w:p>
            <w:pPr>
              <w:pStyle w:val="TableContents"/>
              <w:bidi w:val="0"/>
              <w:spacing w:before="0" w:after="283"/>
              <w:jc w:val="right"/>
              <w:rPr/>
            </w:pPr>
            <w:r>
              <w:rPr/>
              <w:t>23</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5"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r>
      <w:tr>
        <w:trPr/>
        <w:tc>
          <w:tcPr>
            <w:tcW w:w="7451"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9"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5"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451"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Accretion of redeemable convertible preferred stock to its redemption value</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9" w:type="dxa"/>
            <w:tcBorders/>
            <w:shd w:fill="CCEEFF" w:val="clear"/>
            <w:vAlign w:val="bottom"/>
          </w:tcPr>
          <w:p>
            <w:pPr>
              <w:pStyle w:val="TableContents"/>
              <w:bidi w:val="0"/>
              <w:spacing w:before="0" w:after="283"/>
              <w:jc w:val="right"/>
              <w:rPr/>
            </w:pPr>
            <w:r>
              <w:rPr/>
              <w:t>271</w:t>
            </w:r>
          </w:p>
        </w:tc>
        <w:tc>
          <w:tcPr>
            <w:tcW w:w="16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5"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7451"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9"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5"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451" w:type="dxa"/>
            <w:tcBorders/>
          </w:tcPr>
          <w:p>
            <w:pPr>
              <w:pStyle w:val="TableContents"/>
              <w:bidi w:val="0"/>
              <w:spacing w:before="0" w:after="0"/>
              <w:jc w:val="left"/>
              <w:rPr>
                <w:rFonts w:ascii="Times New Roman" w:hAnsi="Times New Roman"/>
                <w:sz w:val="19"/>
              </w:rPr>
            </w:pPr>
            <w:r>
              <w:rPr>
                <w:rFonts w:ascii="Times New Roman" w:hAnsi="Times New Roman"/>
                <w:sz w:val="19"/>
              </w:rPr>
              <w:t>Right-of-use asset obtained in exchange for operating lease liability</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9" w:type="dxa"/>
            <w:tcBorders/>
            <w:vAlign w:val="bottom"/>
          </w:tcPr>
          <w:p>
            <w:pPr>
              <w:pStyle w:val="TableContents"/>
              <w:bidi w:val="0"/>
              <w:spacing w:before="0" w:after="283"/>
              <w:jc w:val="right"/>
              <w:rPr/>
            </w:pPr>
            <w:r>
              <w:rPr/>
              <w:t>5,771</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5"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r>
      <w:tr>
        <w:trPr/>
        <w:tc>
          <w:tcPr>
            <w:tcW w:w="7451"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9"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5"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451"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Settlement of preferred stock tranche liability upon issuance of Series B redeemable convertible preferred stock</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9" w:type="dxa"/>
            <w:tcBorders/>
            <w:shd w:fill="CCEEFF" w:val="clear"/>
            <w:vAlign w:val="bottom"/>
          </w:tcPr>
          <w:p>
            <w:pPr>
              <w:pStyle w:val="TableContents"/>
              <w:bidi w:val="0"/>
              <w:spacing w:before="0" w:after="283"/>
              <w:jc w:val="right"/>
              <w:rPr/>
            </w:pPr>
            <w:r>
              <w:rPr/>
              <w:t>6,808</w:t>
            </w:r>
          </w:p>
        </w:tc>
        <w:tc>
          <w:tcPr>
            <w:tcW w:w="16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5"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7451"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9"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5"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451" w:type="dxa"/>
            <w:tcBorders/>
          </w:tcPr>
          <w:p>
            <w:pPr>
              <w:pStyle w:val="TableContents"/>
              <w:bidi w:val="0"/>
              <w:spacing w:before="0" w:after="0"/>
              <w:jc w:val="left"/>
              <w:rPr>
                <w:rFonts w:ascii="Times New Roman" w:hAnsi="Times New Roman"/>
                <w:sz w:val="19"/>
              </w:rPr>
            </w:pPr>
            <w:r>
              <w:rPr>
                <w:rFonts w:ascii="Times New Roman" w:hAnsi="Times New Roman"/>
                <w:sz w:val="19"/>
              </w:rPr>
              <w:t>Vesting of early exercised stock options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9"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5" w:type="dxa"/>
            <w:tcBorders/>
            <w:vAlign w:val="bottom"/>
          </w:tcPr>
          <w:p>
            <w:pPr>
              <w:pStyle w:val="TableContents"/>
              <w:bidi w:val="0"/>
              <w:spacing w:before="0" w:after="283"/>
              <w:jc w:val="right"/>
              <w:rPr/>
            </w:pPr>
            <w:r>
              <w:rPr/>
              <w:t>6</w:t>
            </w:r>
          </w:p>
        </w:tc>
        <w:tc>
          <w:tcPr>
            <w:tcW w:w="168" w:type="dxa"/>
            <w:tcBorders/>
            <w:vAlign w:val="bottom"/>
          </w:tcPr>
          <w:p>
            <w:pPr>
              <w:pStyle w:val="TableContents"/>
              <w:bidi w:val="0"/>
              <w:spacing w:before="0" w:after="283"/>
              <w:jc w:val="left"/>
              <w:rPr/>
            </w:pPr>
            <w:r>
              <w:rPr/>
              <w:t> </w:t>
            </w:r>
          </w:p>
        </w:tc>
      </w:tr>
      <w:tr>
        <w:trPr/>
        <w:tc>
          <w:tcPr>
            <w:tcW w:w="7451"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9"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5"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451" w:type="dxa"/>
            <w:tcBorders/>
            <w:shd w:fill="CCEEFF" w:val="clear"/>
          </w:tcPr>
          <w:p>
            <w:pPr>
              <w:pStyle w:val="TableContents"/>
              <w:bidi w:val="0"/>
              <w:spacing w:before="0" w:after="0"/>
              <w:jc w:val="left"/>
              <w:rPr>
                <w:rFonts w:ascii="Times New Roman" w:hAnsi="Times New Roman"/>
                <w:b/>
                <w:sz w:val="19"/>
              </w:rPr>
            </w:pPr>
            <w:r>
              <w:rPr>
                <w:rFonts w:ascii="Times New Roman" w:hAnsi="Times New Roman"/>
                <w:b/>
                <w:sz w:val="19"/>
              </w:rPr>
              <w:t>Reconciliation of cash, cash equivalents and restricted cash</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9"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5"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7451" w:type="dxa"/>
            <w:tcBorders/>
          </w:tcPr>
          <w:p>
            <w:pPr>
              <w:pStyle w:val="TableContents"/>
              <w:bidi w:val="0"/>
              <w:spacing w:before="0" w:after="0"/>
              <w:jc w:val="left"/>
              <w:rPr>
                <w:rFonts w:ascii="Times New Roman" w:hAnsi="Times New Roman"/>
                <w:sz w:val="19"/>
              </w:rPr>
            </w:pPr>
            <w:r>
              <w:rPr>
                <w:rFonts w:ascii="Times New Roman" w:hAnsi="Times New Roman"/>
                <w:sz w:val="19"/>
              </w:rPr>
              <w:t>Cash and cash equivalents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9" w:type="dxa"/>
            <w:tcBorders/>
            <w:vAlign w:val="bottom"/>
          </w:tcPr>
          <w:p>
            <w:pPr>
              <w:pStyle w:val="TableContents"/>
              <w:bidi w:val="0"/>
              <w:spacing w:before="0" w:after="283"/>
              <w:jc w:val="right"/>
              <w:rPr/>
            </w:pPr>
            <w:r>
              <w:rPr/>
              <w:t> </w:t>
            </w:r>
            <w:r>
              <w:rPr/>
              <w:t>129,101</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5" w:type="dxa"/>
            <w:tcBorders/>
            <w:vAlign w:val="bottom"/>
          </w:tcPr>
          <w:p>
            <w:pPr>
              <w:pStyle w:val="TableContents"/>
              <w:bidi w:val="0"/>
              <w:spacing w:before="0" w:after="283"/>
              <w:jc w:val="right"/>
              <w:rPr/>
            </w:pPr>
            <w:r>
              <w:rPr/>
              <w:t>43,297</w:t>
            </w:r>
          </w:p>
        </w:tc>
        <w:tc>
          <w:tcPr>
            <w:tcW w:w="168" w:type="dxa"/>
            <w:tcBorders/>
            <w:vAlign w:val="bottom"/>
          </w:tcPr>
          <w:p>
            <w:pPr>
              <w:pStyle w:val="TableContents"/>
              <w:bidi w:val="0"/>
              <w:spacing w:before="0" w:after="283"/>
              <w:jc w:val="left"/>
              <w:rPr/>
            </w:pPr>
            <w:r>
              <w:rPr/>
              <w:t> </w:t>
            </w:r>
          </w:p>
        </w:tc>
      </w:tr>
      <w:tr>
        <w:trPr/>
        <w:tc>
          <w:tcPr>
            <w:tcW w:w="7451"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Restricted cash</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607</w:t>
            </w:r>
          </w:p>
        </w:tc>
        <w:tc>
          <w:tcPr>
            <w:tcW w:w="16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404</w:t>
            </w:r>
          </w:p>
        </w:tc>
        <w:tc>
          <w:tcPr>
            <w:tcW w:w="168" w:type="dxa"/>
            <w:tcBorders/>
            <w:shd w:fill="CCEEFF" w:val="clear"/>
            <w:vAlign w:val="bottom"/>
          </w:tcPr>
          <w:p>
            <w:pPr>
              <w:pStyle w:val="TableContents"/>
              <w:bidi w:val="0"/>
              <w:spacing w:before="0" w:after="283"/>
              <w:jc w:val="left"/>
              <w:rPr/>
            </w:pPr>
            <w:r>
              <w:rPr/>
              <w:t> </w:t>
            </w:r>
          </w:p>
        </w:tc>
      </w:tr>
      <w:tr>
        <w:trPr/>
        <w:tc>
          <w:tcPr>
            <w:tcW w:w="7451"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5"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451" w:type="dxa"/>
            <w:tcBorders/>
          </w:tcPr>
          <w:p>
            <w:pPr>
              <w:pStyle w:val="TableContents"/>
              <w:bidi w:val="0"/>
              <w:spacing w:before="0" w:after="0"/>
              <w:jc w:val="left"/>
              <w:rPr>
                <w:rFonts w:ascii="Times New Roman" w:hAnsi="Times New Roman"/>
                <w:sz w:val="19"/>
              </w:rPr>
            </w:pPr>
            <w:r>
              <w:rPr>
                <w:rFonts w:ascii="Times New Roman" w:hAnsi="Times New Roman"/>
                <w:sz w:val="19"/>
              </w:rPr>
              <w:t>Total cash, cash equivalents and restricted cash</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9" w:type="dxa"/>
            <w:tcBorders/>
            <w:vAlign w:val="bottom"/>
          </w:tcPr>
          <w:p>
            <w:pPr>
              <w:pStyle w:val="TableContents"/>
              <w:bidi w:val="0"/>
              <w:spacing w:before="0" w:after="283"/>
              <w:jc w:val="right"/>
              <w:rPr/>
            </w:pPr>
            <w:r>
              <w:rPr/>
              <w:t>129,708</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5" w:type="dxa"/>
            <w:tcBorders/>
            <w:vAlign w:val="bottom"/>
          </w:tcPr>
          <w:p>
            <w:pPr>
              <w:pStyle w:val="TableContents"/>
              <w:bidi w:val="0"/>
              <w:spacing w:before="0" w:after="283"/>
              <w:jc w:val="right"/>
              <w:rPr/>
            </w:pPr>
            <w:r>
              <w:rPr/>
              <w:t>43,701</w:t>
            </w:r>
          </w:p>
        </w:tc>
        <w:tc>
          <w:tcPr>
            <w:tcW w:w="168" w:type="dxa"/>
            <w:tcBorders/>
            <w:vAlign w:val="bottom"/>
          </w:tcPr>
          <w:p>
            <w:pPr>
              <w:pStyle w:val="TableContents"/>
              <w:bidi w:val="0"/>
              <w:spacing w:before="0" w:after="283"/>
              <w:jc w:val="left"/>
              <w:rPr/>
            </w:pPr>
            <w:r>
              <w:rPr/>
              <w:t> </w:t>
            </w:r>
          </w:p>
        </w:tc>
      </w:tr>
      <w:tr>
        <w:trPr/>
        <w:tc>
          <w:tcPr>
            <w:tcW w:w="7451"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9"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5"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bookmarkStart w:id="35" w:name="fin40469_11"/>
      <w:bookmarkEnd w:id="35"/>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w:t>
            </w:r>
          </w:p>
        </w:tc>
        <w:tc>
          <w:tcPr>
            <w:tcW w:w="9799"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Organization and Nature of the Business </w:t>
            </w:r>
          </w:p>
        </w:tc>
      </w:tr>
    </w:tbl>
    <w:p>
      <w:pPr>
        <w:pStyle w:val="TextBody"/>
        <w:bidi w:val="0"/>
        <w:spacing w:before="120" w:after="0"/>
        <w:jc w:val="both"/>
        <w:rPr>
          <w:rFonts w:ascii="Times New Roman" w:hAnsi="Times New Roman"/>
          <w:sz w:val="20"/>
        </w:rPr>
      </w:pPr>
      <w:r>
        <w:rPr>
          <w:rFonts w:ascii="Times New Roman" w:hAnsi="Times New Roman"/>
          <w:sz w:val="20"/>
        </w:rPr>
        <w:t xml:space="preserve">Attovia Therapeutics, Inc. (the “Company”) is a clinical stage biotechnology company headquartered in San Carlos, California and focused on research and development of therapeutic products in the fields of immune-mediated diseases. The Company was incorporated in the State of Delaware on December 16, 2022 and subsequently commenced principal operations in June 2023. </w:t>
      </w:r>
    </w:p>
    <w:p>
      <w:pPr>
        <w:pStyle w:val="TextBody"/>
        <w:bidi w:val="0"/>
        <w:spacing w:before="120" w:after="0"/>
        <w:jc w:val="both"/>
        <w:rPr>
          <w:rFonts w:ascii="Times New Roman" w:hAnsi="Times New Roman"/>
          <w:sz w:val="20"/>
        </w:rPr>
      </w:pPr>
      <w:r>
        <w:rPr>
          <w:rFonts w:ascii="Times New Roman" w:hAnsi="Times New Roman"/>
          <w:sz w:val="20"/>
        </w:rPr>
        <w:t xml:space="preserve">As of March 31, 2026, the Company had two wholly owned subsidiaries, Attovia Therapeutics Cayman Co., Ltd., an exempted company incorporated in the Cayman Islands with limited liability in July 2025, and Attovia Therapeutics (Shanghai) Co., Ltd., a limited liability company incorporated in the People’s Republic of China in October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w:t>
      </w:r>
    </w:p>
    <w:p>
      <w:pPr>
        <w:pStyle w:val="TextBody"/>
        <w:bidi w:val="0"/>
        <w:spacing w:before="120" w:after="0"/>
        <w:jc w:val="both"/>
        <w:rPr>
          <w:rFonts w:ascii="Times New Roman" w:hAnsi="Times New Roman"/>
          <w:sz w:val="20"/>
        </w:rPr>
      </w:pPr>
      <w:r>
        <w:rPr>
          <w:rFonts w:ascii="Times New Roman" w:hAnsi="Times New Roman"/>
          <w:sz w:val="20"/>
        </w:rPr>
        <w:t xml:space="preserve">The Company has incurred significant net operating losses and negative cash flows from operations since inception and had an accumulated deficit of $129.7 million as of March 31, 2026. The Company has historically financed its operations primarily through the private placements of equity securities. To date, the Company has no product candidates approved for sale and therefore the Company has not generated any revenue from product sales. Management expects operating losses and negative cash flows to continue for the foreseeable future, until such time that it can generate significant sales of its product candidates currently in development or through collaboration or other agreements. The Company’s prospects are subject to risks, expenses and uncertainties frequently encountered by companies in the biotechnology industry as discussed under Risks and Uncertainties in Note 2. While the Company has been able to raise financing, there can be no assurance that in the event the Company requires additional financing, such financing will be available on terms which are favorable or at all. Failure to generate sufficient cash flows from operations, raise additional capital or reduce certain discretionary spending would have a material adverse effect on the Company’s ability to achieve its intended business objectives. </w:t>
      </w:r>
    </w:p>
    <w:p>
      <w:pPr>
        <w:pStyle w:val="TextBody"/>
        <w:bidi w:val="0"/>
        <w:spacing w:before="120" w:after="0"/>
        <w:jc w:val="both"/>
        <w:rPr>
          <w:rFonts w:ascii="Times New Roman" w:hAnsi="Times New Roman"/>
          <w:sz w:val="20"/>
        </w:rPr>
      </w:pPr>
      <w:r>
        <w:rPr>
          <w:rFonts w:ascii="Times New Roman" w:hAnsi="Times New Roman"/>
          <w:sz w:val="20"/>
        </w:rPr>
        <w:t xml:space="preserve">As of March 31, 2026, the Company had cash, cash equivalents and marketable securities of $132.6 million, which management believes will be sufficient to fund the Company’s planned operations for at least 12 months from the date these condensed consolidated financial statements are available to be issued.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w:t>
            </w:r>
          </w:p>
        </w:tc>
        <w:tc>
          <w:tcPr>
            <w:tcW w:w="9797"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both"/>
        <w:rPr>
          <w:rFonts w:ascii="Times New Roman" w:hAnsi="Times New Roman"/>
          <w:sz w:val="20"/>
        </w:rPr>
      </w:pPr>
      <w:r>
        <w:rPr>
          <w:rFonts w:ascii="Times New Roman" w:hAnsi="Times New Roman"/>
          <w:sz w:val="20"/>
        </w:rPr>
        <w:t xml:space="preserve">The condensed consolidated financial statements and related disclosures are unaudited and have been prepared in conformity with accounting principles generally accepted in the United States of America (“U.S. GAAP”) and applicable rules and regulations of the Securities and Exchange Commission (the “SEC”) regarding interim financial reporting. </w:t>
      </w:r>
    </w:p>
    <w:p>
      <w:pPr>
        <w:pStyle w:val="TextBody"/>
        <w:bidi w:val="0"/>
        <w:spacing w:before="120" w:after="0"/>
        <w:jc w:val="both"/>
        <w:rPr>
          <w:rFonts w:ascii="Times New Roman" w:hAnsi="Times New Roman"/>
          <w:sz w:val="20"/>
        </w:rPr>
      </w:pPr>
      <w:r>
        <w:rPr>
          <w:rFonts w:ascii="Times New Roman" w:hAnsi="Times New Roman"/>
          <w:sz w:val="20"/>
        </w:rPr>
        <w:t xml:space="preserve">The Company’s unaudited condensed consolidated financial statements include the accounts of its subsidiaries, and all intercompany transactions were eliminated upon consolidation. Prior to July 2025, the Company had no subsidiaries.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Unaudited Interim Financial Information </w:t>
      </w:r>
    </w:p>
    <w:p>
      <w:pPr>
        <w:pStyle w:val="TextBody"/>
        <w:bidi w:val="0"/>
        <w:spacing w:before="120" w:after="0"/>
        <w:jc w:val="both"/>
        <w:rPr>
          <w:rFonts w:ascii="Times New Roman" w:hAnsi="Times New Roman"/>
          <w:sz w:val="20"/>
        </w:rPr>
      </w:pPr>
      <w:r>
        <w:rPr>
          <w:rFonts w:ascii="Times New Roman" w:hAnsi="Times New Roman"/>
          <w:sz w:val="20"/>
        </w:rPr>
        <w:t xml:space="preserve">The condensed consolidated balance sheet as of December 31, 2025 was derived from the Company’s audited consolidated financial statements but does not contain all of the footnote disclosures from the consolidated financial statements. The accompanying unaudited interim condensed consolidated financial statements as of March 31, 2026 and for the three months ended March 31, 2025 and 2026, have been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prepared by the Company, pursuant to the rules and regulations of the SEC for interim financial statements. Certain information and footnote disclosures normally included in financial statements prepared in accordance with U.S. GAAP have been condensed or omitted pursuant to such rules and regulations. However, the Company believes that the disclosures are adequate to make the information presented not misleading. Accordingly, these unaudited interim condensed consolidated financial statements should be read in conjunction with the audited consolidated financial statements as of and for the year ended December 31, 2025. In the opinion of management, all adjustments, consisting only of normal recurring adjustments necessary for a fair statement of the Company’s condensed consolidated financial position as of March 31, 2026 and condensed consolidated results of operations, condensed consolidated statements of redeemable convertible preferred stock and stockholders’ deficit and condensed consolidated cash flows for the three months ended March 31, 2025 and 2026 have been made. The results of operations for the three months ended March 31, 2026 are not necessarily indicative of the results of operations that may be expected for the year ending December 31, 2026. </w:t>
      </w:r>
    </w:p>
    <w:p>
      <w:pPr>
        <w:pStyle w:val="TextBody"/>
        <w:bidi w:val="0"/>
        <w:spacing w:before="120" w:after="0"/>
        <w:jc w:val="both"/>
        <w:rPr>
          <w:rFonts w:ascii="Times New Roman" w:hAnsi="Times New Roman"/>
          <w:sz w:val="20"/>
        </w:rPr>
      </w:pPr>
      <w:r>
        <w:rPr>
          <w:rFonts w:ascii="Times New Roman" w:hAnsi="Times New Roman"/>
          <w:sz w:val="20"/>
        </w:rPr>
        <w:t xml:space="preserve">Other than policies noted below, there have been no changes from the significant accounting policies and estimates disclosed in Note 2 in the Company’s audited consolidated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both"/>
        <w:rPr>
          <w:rFonts w:ascii="Times New Roman" w:hAnsi="Times New Roman"/>
          <w:sz w:val="20"/>
        </w:rPr>
      </w:pPr>
      <w:r>
        <w:rPr>
          <w:rFonts w:ascii="Times New Roman" w:hAnsi="Times New Roman"/>
          <w:sz w:val="20"/>
        </w:rPr>
        <w:t xml:space="preserve">The preparation of financial statements in conformity with U.S. GAAP requires management to make estimates and assumptions that affect the reported amounts of assets and liabilities and disclosures of contingent assets and liabilities at the date of the financial statements as well as the reported amounts of revenues and expenses during the reporting period. Such estimates include the fair value of marketable securities, the fair values of preferred stock tranche liabilities, the fair value of common stock, valuation of deferred tax assets, incremental borrowing rate for leases, accruals for research and development activities and stock-based compensation.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Segments </w:t>
      </w:r>
    </w:p>
    <w:p>
      <w:pPr>
        <w:pStyle w:val="TextBody"/>
        <w:bidi w:val="0"/>
        <w:spacing w:before="120" w:after="0"/>
        <w:jc w:val="both"/>
        <w:rPr>
          <w:rFonts w:ascii="Times New Roman" w:hAnsi="Times New Roman"/>
          <w:sz w:val="20"/>
        </w:rPr>
      </w:pPr>
      <w:r>
        <w:rPr>
          <w:rFonts w:ascii="Times New Roman" w:hAnsi="Times New Roman"/>
          <w:sz w:val="20"/>
        </w:rPr>
        <w:t xml:space="preserve">Operating segments are defined as components of an entity for which separate financial information is available and regularly utilized by the Chief Operating Decision Maker (“CODM”) to assess the Company’s performance for capital and resource allocation decisions. The Company’s CODM is its Chief Executive Officer, who reviews such financial information on an aggregate company-level basis (see Note 14). The Company has determined it operates as a single operating segment and has one reportable segment, which is the research and development of therapeutic products in the fields of immune-mediated diseases. Revenue is generated exclusively from transactions with a party located in the United States. All long-lived assets are maintained in the United States of America.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 of Credit Risk and of Significant Suppliers </w:t>
      </w:r>
    </w:p>
    <w:p>
      <w:pPr>
        <w:pStyle w:val="TextBody"/>
        <w:bidi w:val="0"/>
        <w:spacing w:before="120" w:after="0"/>
        <w:jc w:val="both"/>
        <w:rPr>
          <w:rFonts w:ascii="Times New Roman" w:hAnsi="Times New Roman"/>
          <w:sz w:val="20"/>
        </w:rPr>
      </w:pPr>
      <w:r>
        <w:rPr>
          <w:rFonts w:ascii="Times New Roman" w:hAnsi="Times New Roman"/>
          <w:sz w:val="20"/>
        </w:rPr>
        <w:t xml:space="preserve">Financial instruments which potentially subject the Company to concentration of credit risk consist primarily of cash and cash equivalents, marketable securities and restricted cash. The Company is exposed to credit risk from its deposits of cash and cash equivalents in excess of amounts insured by the Federal Deposit Insurance Corporation (“FDIC”). The Company has not experienced any losses on its deposits of cash and cash equivalents in 2025 and 2026. </w:t>
      </w:r>
    </w:p>
    <w:p>
      <w:pPr>
        <w:pStyle w:val="TextBody"/>
        <w:bidi w:val="0"/>
        <w:spacing w:before="120" w:after="0"/>
        <w:jc w:val="both"/>
        <w:rPr>
          <w:rFonts w:ascii="Times New Roman" w:hAnsi="Times New Roman"/>
          <w:sz w:val="20"/>
        </w:rPr>
      </w:pPr>
      <w:r>
        <w:rPr>
          <w:rFonts w:ascii="Times New Roman" w:hAnsi="Times New Roman"/>
          <w:sz w:val="20"/>
        </w:rPr>
        <w:t xml:space="preserve">The Company invests in money market funds, U.S. Treasury bills and notes, and other short-term fixed income securities which can be subject to certain credit risks. The Company mitigates these risks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investing in high-grade instruments, limiting its exposure to any one issuer and monitoring the ongoing creditworthiness of the financial institutions and issuers. The Company has not experienced any losses on its financial instruments. </w:t>
      </w:r>
    </w:p>
    <w:p>
      <w:pPr>
        <w:pStyle w:val="TextBody"/>
        <w:bidi w:val="0"/>
        <w:spacing w:before="120" w:after="0"/>
        <w:jc w:val="both"/>
        <w:rPr>
          <w:rFonts w:ascii="Times New Roman" w:hAnsi="Times New Roman"/>
          <w:sz w:val="20"/>
        </w:rPr>
      </w:pPr>
      <w:r>
        <w:rPr>
          <w:rFonts w:ascii="Times New Roman" w:hAnsi="Times New Roman"/>
          <w:sz w:val="20"/>
        </w:rPr>
        <w:t xml:space="preserve">The Company is dependent on third-party manufacturers to supply materials for research and development activities for the Company’s pipeline products, including preclinical and clinical studies and testing, and manufacturing activities. In particular, the Company relies on a small number of manufacturers for the supply of drug substance and drug product materials for its clinical assets. The Company’s preclinical and clinical studies and testing and manufacturing activities could be adversely affected by a significant interruption in the supply of materials from its suppliers.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and Uncertainties </w:t>
      </w:r>
    </w:p>
    <w:p>
      <w:pPr>
        <w:pStyle w:val="TextBody"/>
        <w:bidi w:val="0"/>
        <w:spacing w:before="120" w:after="0"/>
        <w:jc w:val="both"/>
        <w:rPr>
          <w:rFonts w:ascii="Times New Roman" w:hAnsi="Times New Roman"/>
          <w:sz w:val="20"/>
        </w:rPr>
      </w:pPr>
      <w:r>
        <w:rPr>
          <w:rFonts w:ascii="Times New Roman" w:hAnsi="Times New Roman"/>
          <w:sz w:val="20"/>
        </w:rPr>
        <w:t xml:space="preserve">The Company is subject to risks and uncertainties common to early-stage companies in the biotechnology industry, including, but not limited to, development by competitors of new technological innovations, protection of proprietary technology, dependence on key personnel, compliance with government regulations and the need to obtain additional financing to fund operations. Product candidates currently under development will require significant additional research and development efforts, including extensive preclinical studies, clinical trials and regulatory approval, prior to commercialization. These efforts require significant amounts of additional capital, adequate personnel, infrastructure and extensive compliance and reporting. </w:t>
      </w:r>
    </w:p>
    <w:p>
      <w:pPr>
        <w:pStyle w:val="TextBody"/>
        <w:bidi w:val="0"/>
        <w:spacing w:before="120" w:after="0"/>
        <w:jc w:val="both"/>
        <w:rPr>
          <w:rFonts w:ascii="Times New Roman" w:hAnsi="Times New Roman"/>
          <w:sz w:val="20"/>
        </w:rPr>
      </w:pPr>
      <w:r>
        <w:rPr>
          <w:rFonts w:ascii="Times New Roman" w:hAnsi="Times New Roman"/>
          <w:sz w:val="20"/>
        </w:rPr>
        <w:t xml:space="preserve">The Company’s product candidates are still in either preclinical or clinical development and, to date, none of the Company’s product candidates have been approved for sale and, therefore, the Company has not generated any revenue from product sales. </w:t>
      </w:r>
    </w:p>
    <w:p>
      <w:pPr>
        <w:pStyle w:val="TextBody"/>
        <w:bidi w:val="0"/>
        <w:spacing w:before="120" w:after="0"/>
        <w:jc w:val="both"/>
        <w:rPr>
          <w:rFonts w:ascii="Times New Roman" w:hAnsi="Times New Roman"/>
          <w:sz w:val="20"/>
        </w:rPr>
      </w:pPr>
      <w:r>
        <w:rPr>
          <w:rFonts w:ascii="Times New Roman" w:hAnsi="Times New Roman"/>
          <w:sz w:val="20"/>
        </w:rPr>
        <w:t xml:space="preserve">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revenue from product sales. The Company operates in an environment of rapid change in technology and substantial competition from other pharmaceutical and biotechnology companies. In addition, the Company is dependent upon the services of its employees, consultants and other third parties.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Pronouncements </w:t>
      </w:r>
    </w:p>
    <w:p>
      <w:pPr>
        <w:pStyle w:val="TextBody"/>
        <w:bidi w:val="0"/>
        <w:spacing w:before="120" w:after="0"/>
        <w:jc w:val="both"/>
        <w:rPr>
          <w:rFonts w:ascii="Times New Roman" w:hAnsi="Times New Roman"/>
          <w:sz w:val="20"/>
        </w:rPr>
      </w:pPr>
      <w:r>
        <w:rPr>
          <w:rFonts w:ascii="Times New Roman" w:hAnsi="Times New Roman"/>
          <w:sz w:val="20"/>
        </w:rPr>
        <w:t xml:space="preserve">From time to time, new accounting pronouncements are issued by the Financial Accounting Standards Board (the “FASB”) under its Accounting Standards Codification (“ASC”) or other standard setting bodies and adopted by the Company as of the specified effective date, unless otherwise discussed below. The Company qualifies as an “emerging growth company” as defined in the Jumpstart Our Business Startups Act of 2012, as amended (the “JOBS Act”) and adopts new or revised accounting standards on the dates applicable to nonpublic entities unless early adopted.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Accounting Pronouncements Not Yet Adopted </w:t>
      </w:r>
    </w:p>
    <w:p>
      <w:pPr>
        <w:pStyle w:val="TextBody"/>
        <w:bidi w:val="0"/>
        <w:spacing w:before="120" w:after="0"/>
        <w:jc w:val="both"/>
        <w:rPr>
          <w:rFonts w:ascii="Times New Roman" w:hAnsi="Times New Roman"/>
          <w:sz w:val="20"/>
        </w:rPr>
      </w:pPr>
      <w:r>
        <w:rPr>
          <w:rFonts w:ascii="Times New Roman" w:hAnsi="Times New Roman"/>
          <w:sz w:val="20"/>
        </w:rPr>
        <w:t>In November 2024, the FASB issued ASU 2024-03, </w:t>
      </w:r>
      <w:r>
        <w:rPr>
          <w:rFonts w:ascii="Times New Roman" w:hAnsi="Times New Roman"/>
          <w:i/>
          <w:sz w:val="20"/>
        </w:rPr>
        <w:t>Disaggregation of Income Statement Expenses (Topic 220)</w:t>
      </w:r>
      <w:r>
        <w:rPr>
          <w:rFonts w:ascii="Times New Roman" w:hAnsi="Times New Roman"/>
          <w:sz w:val="20"/>
        </w:rPr>
        <w:t xml:space="preserve">, requiring that public business entities disclose additional information about specific expense categories in the notes to financial statements at interim and annual reporting periods. The amendments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effective for annual reporting periods beginning after December 15, 2026, and interim reporting periods within annual periods beginning after December 15, 2027. The requirements of ASU 2024-03 may be applied either prospectively to financial statements issued for reporting periods after the effective date or retrospectively to any or all prior periods presented in the financial statements. The Company is currently evaluating the impact of adopting ASU 2024-03 on its condensed consolidated financial statements and disclosures.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Fair Value Measurements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Company determines the fair value of financial and non-financial assets and liabilities using the fair value hierarchy which establishes three levels of inputs that may be used to measure fair value, as follows: </w:t>
      </w:r>
    </w:p>
    <w:p>
      <w:pPr>
        <w:pStyle w:val="TextBody"/>
        <w:bidi w:val="0"/>
        <w:spacing w:before="120" w:after="0"/>
        <w:jc w:val="both"/>
        <w:rPr>
          <w:rFonts w:ascii="Times New Roman" w:hAnsi="Times New Roman"/>
          <w:sz w:val="20"/>
        </w:rPr>
      </w:pPr>
      <w:r>
        <w:rPr>
          <w:rFonts w:ascii="Times New Roman" w:hAnsi="Times New Roman"/>
          <w:sz w:val="20"/>
        </w:rPr>
        <w:t xml:space="preserve">Level 1 — Observable inputs, such as quoted prices in active markets for identical assets or liabilities. </w:t>
      </w:r>
    </w:p>
    <w:p>
      <w:pPr>
        <w:pStyle w:val="TextBody"/>
        <w:bidi w:val="0"/>
        <w:spacing w:before="120" w:after="0"/>
        <w:jc w:val="both"/>
        <w:rPr>
          <w:rFonts w:ascii="Times New Roman" w:hAnsi="Times New Roman"/>
          <w:sz w:val="20"/>
        </w:rPr>
      </w:pPr>
      <w:r>
        <w:rPr>
          <w:rFonts w:ascii="Times New Roman" w:hAnsi="Times New Roman"/>
          <w:sz w:val="20"/>
        </w:rPr>
        <w:t xml:space="preserve">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w:t>
      </w:r>
    </w:p>
    <w:p>
      <w:pPr>
        <w:pStyle w:val="TextBody"/>
        <w:bidi w:val="0"/>
        <w:spacing w:before="120" w:after="0"/>
        <w:jc w:val="both"/>
        <w:rPr>
          <w:rFonts w:ascii="Times New Roman" w:hAnsi="Times New Roman"/>
          <w:sz w:val="20"/>
        </w:rPr>
      </w:pPr>
      <w:r>
        <w:rPr>
          <w:rFonts w:ascii="Times New Roman" w:hAnsi="Times New Roman"/>
          <w:sz w:val="20"/>
        </w:rPr>
        <w:t xml:space="preserve">Level 3 — Unobservable inputs that are supported by little or no market activity and that are significant to the fair value of the assets or liabilities. </w:t>
      </w:r>
    </w:p>
    <w:p>
      <w:pPr>
        <w:pStyle w:val="TextBody"/>
        <w:bidi w:val="0"/>
        <w:spacing w:before="120" w:after="0"/>
        <w:jc w:val="both"/>
        <w:rPr>
          <w:rFonts w:ascii="Times New Roman" w:hAnsi="Times New Roman"/>
          <w:sz w:val="20"/>
        </w:rPr>
      </w:pPr>
      <w:r>
        <w:rPr>
          <w:rFonts w:ascii="Times New Roman" w:hAnsi="Times New Roman"/>
          <w:sz w:val="20"/>
        </w:rPr>
        <w:t xml:space="preserve">In determining fair value, the Company utilizes valuation techniques that maximize the use of observable inputs and minimize the use of unobservable inputs to the extent possible as well as considers counterparty credit risk in its assessment of fair value. </w:t>
      </w:r>
    </w:p>
    <w:p>
      <w:pPr>
        <w:pStyle w:val="TextBody"/>
        <w:bidi w:val="0"/>
        <w:spacing w:before="120" w:after="0"/>
        <w:jc w:val="both"/>
        <w:rPr>
          <w:rFonts w:ascii="Times New Roman" w:hAnsi="Times New Roman"/>
          <w:sz w:val="20"/>
        </w:rPr>
      </w:pPr>
      <w:r>
        <w:rPr>
          <w:rFonts w:ascii="Times New Roman" w:hAnsi="Times New Roman"/>
          <w:sz w:val="20"/>
        </w:rPr>
        <w:t xml:space="preserve">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 </w:t>
      </w:r>
    </w:p>
    <w:p>
      <w:pPr>
        <w:pStyle w:val="TextBody"/>
        <w:bidi w:val="0"/>
        <w:spacing w:before="120" w:after="0"/>
        <w:jc w:val="both"/>
        <w:rPr>
          <w:rFonts w:ascii="Times New Roman" w:hAnsi="Times New Roman"/>
          <w:sz w:val="20"/>
        </w:rPr>
      </w:pPr>
      <w:r>
        <w:rPr>
          <w:rFonts w:ascii="Times New Roman" w:hAnsi="Times New Roman"/>
          <w:sz w:val="20"/>
        </w:rPr>
        <w:t xml:space="preserve">The Company recognizes transfers into and out of levels within the fair value hierarchy in the period in which the actual event or change in circumstances that caused the transfer occurs. </w:t>
      </w:r>
    </w:p>
    <w:p>
      <w:pPr>
        <w:pStyle w:val="TextBody"/>
        <w:bidi w:val="0"/>
        <w:spacing w:before="120" w:after="0"/>
        <w:jc w:val="both"/>
        <w:rPr>
          <w:rFonts w:ascii="Times New Roman" w:hAnsi="Times New Roman"/>
          <w:sz w:val="20"/>
        </w:rPr>
      </w:pPr>
      <w:r>
        <w:rPr>
          <w:rFonts w:ascii="Times New Roman" w:hAnsi="Times New Roman"/>
          <w:sz w:val="20"/>
        </w:rPr>
        <w:t xml:space="preserve">Financial assets and liabilities are considered Level 3 when their fair values are determined using pricing models, discounted cash flow methodologies, or similar techniques, and at least one significant model assumption or input is unobservable.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sets forth the fair value of the Company’s financial assets and liabilities measured on a recurring basis by level within the fair value hierarchy (in thousands):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3659"/>
        <w:gridCol w:w="289"/>
        <w:gridCol w:w="140"/>
        <w:gridCol w:w="855"/>
        <w:gridCol w:w="60"/>
        <w:gridCol w:w="289"/>
        <w:gridCol w:w="140"/>
        <w:gridCol w:w="714"/>
        <w:gridCol w:w="60"/>
        <w:gridCol w:w="289"/>
        <w:gridCol w:w="203"/>
        <w:gridCol w:w="567"/>
        <w:gridCol w:w="60"/>
        <w:gridCol w:w="288"/>
        <w:gridCol w:w="140"/>
        <w:gridCol w:w="855"/>
        <w:gridCol w:w="66"/>
      </w:tblGrid>
      <w:tr>
        <w:trPr/>
        <w:tc>
          <w:tcPr>
            <w:tcW w:w="3659"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659"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466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6" w:type="dxa"/>
            <w:tcBorders/>
            <w:vAlign w:val="bottom"/>
          </w:tcPr>
          <w:p>
            <w:pPr>
              <w:pStyle w:val="TableContents"/>
              <w:bidi w:val="0"/>
              <w:spacing w:before="0" w:after="283"/>
              <w:jc w:val="left"/>
              <w:rPr/>
            </w:pPr>
            <w:r>
              <w:rPr/>
              <w:t> </w:t>
            </w:r>
          </w:p>
        </w:tc>
      </w:tr>
      <w:tr>
        <w:trPr/>
        <w:tc>
          <w:tcPr>
            <w:tcW w:w="3659"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8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36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5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659"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5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6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5" w:type="dxa"/>
            <w:tcBorders/>
            <w:shd w:fill="CCEEFF" w:val="clear"/>
            <w:vAlign w:val="bottom"/>
          </w:tcPr>
          <w:p>
            <w:pPr>
              <w:pStyle w:val="TableContents"/>
              <w:bidi w:val="0"/>
              <w:spacing w:before="0" w:after="283"/>
              <w:jc w:val="right"/>
              <w:rPr/>
            </w:pPr>
            <w:r>
              <w:rPr/>
              <w:t>35,526</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5" w:type="dxa"/>
            <w:tcBorders/>
            <w:shd w:fill="CCEEFF" w:val="clear"/>
            <w:vAlign w:val="bottom"/>
          </w:tcPr>
          <w:p>
            <w:pPr>
              <w:pStyle w:val="TableContents"/>
              <w:bidi w:val="0"/>
              <w:spacing w:before="0" w:after="283"/>
              <w:jc w:val="right"/>
              <w:rPr/>
            </w:pPr>
            <w:r>
              <w:rPr/>
              <w:t>35,526</w:t>
            </w:r>
          </w:p>
        </w:tc>
        <w:tc>
          <w:tcPr>
            <w:tcW w:w="66" w:type="dxa"/>
            <w:tcBorders/>
            <w:shd w:fill="CCEEFF" w:val="clear"/>
            <w:vAlign w:val="bottom"/>
          </w:tcPr>
          <w:p>
            <w:pPr>
              <w:pStyle w:val="TableContents"/>
              <w:bidi w:val="0"/>
              <w:spacing w:before="0" w:after="283"/>
              <w:jc w:val="left"/>
              <w:rPr/>
            </w:pPr>
            <w:r>
              <w:rPr/>
              <w:t> </w:t>
            </w:r>
          </w:p>
        </w:tc>
      </w:tr>
      <w:tr>
        <w:trPr/>
        <w:tc>
          <w:tcPr>
            <w:tcW w:w="3659" w:type="dxa"/>
            <w:tcBorders/>
          </w:tcPr>
          <w:p>
            <w:pPr>
              <w:pStyle w:val="TableContents"/>
              <w:bidi w:val="0"/>
              <w:spacing w:before="0" w:after="0"/>
              <w:jc w:val="left"/>
              <w:rPr>
                <w:rFonts w:ascii="Times New Roman" w:hAnsi="Times New Roman"/>
                <w:sz w:val="20"/>
              </w:rPr>
            </w:pPr>
            <w:r>
              <w:rPr>
                <w:rFonts w:ascii="Times New Roman" w:hAnsi="Times New Roman"/>
                <w:sz w:val="20"/>
              </w:rPr>
              <w:t>U.S. Treasury bills</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2,485</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2,485</w:t>
            </w:r>
          </w:p>
        </w:tc>
        <w:tc>
          <w:tcPr>
            <w:tcW w:w="66" w:type="dxa"/>
            <w:tcBorders/>
            <w:vAlign w:val="bottom"/>
          </w:tcPr>
          <w:p>
            <w:pPr>
              <w:pStyle w:val="TableContents"/>
              <w:bidi w:val="0"/>
              <w:spacing w:before="0" w:after="283"/>
              <w:jc w:val="left"/>
              <w:rPr/>
            </w:pPr>
            <w:r>
              <w:rPr/>
              <w:t> </w:t>
            </w:r>
          </w:p>
        </w:tc>
      </w:tr>
      <w:tr>
        <w:trPr/>
        <w:tc>
          <w:tcPr>
            <w:tcW w:w="36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5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659" w:type="dxa"/>
            <w:tcBorders/>
          </w:tcPr>
          <w:p>
            <w:pPr>
              <w:pStyle w:val="TableContents"/>
              <w:bidi w:val="0"/>
              <w:spacing w:before="0" w:after="0"/>
              <w:jc w:val="left"/>
              <w:rPr>
                <w:rFonts w:ascii="Times New Roman" w:hAnsi="Times New Roman"/>
                <w:sz w:val="20"/>
              </w:rPr>
            </w:pPr>
            <w:r>
              <w:rPr>
                <w:rFonts w:ascii="Times New Roman" w:hAnsi="Times New Roman"/>
                <w:sz w:val="20"/>
              </w:rPr>
              <w:t>U.S. Treasury notes</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82,397</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82,397</w:t>
            </w:r>
          </w:p>
        </w:tc>
        <w:tc>
          <w:tcPr>
            <w:tcW w:w="66" w:type="dxa"/>
            <w:tcBorders/>
            <w:vAlign w:val="bottom"/>
          </w:tcPr>
          <w:p>
            <w:pPr>
              <w:pStyle w:val="TableContents"/>
              <w:bidi w:val="0"/>
              <w:spacing w:before="0" w:after="283"/>
              <w:jc w:val="left"/>
              <w:rPr/>
            </w:pPr>
            <w:r>
              <w:rPr/>
              <w:t> </w:t>
            </w:r>
          </w:p>
        </w:tc>
      </w:tr>
      <w:tr>
        <w:trPr/>
        <w:tc>
          <w:tcPr>
            <w:tcW w:w="36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Treasury bills</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14,736</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14,942</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29,678</w:t>
            </w:r>
          </w:p>
        </w:tc>
        <w:tc>
          <w:tcPr>
            <w:tcW w:w="66" w:type="dxa"/>
            <w:tcBorders/>
            <w:shd w:fill="CCEEFF" w:val="clear"/>
            <w:vAlign w:val="bottom"/>
          </w:tcPr>
          <w:p>
            <w:pPr>
              <w:pStyle w:val="TableContents"/>
              <w:bidi w:val="0"/>
              <w:spacing w:before="0" w:after="283"/>
              <w:jc w:val="left"/>
              <w:rPr/>
            </w:pPr>
            <w:r>
              <w:rPr/>
              <w:t> </w:t>
            </w:r>
          </w:p>
        </w:tc>
      </w:tr>
      <w:tr>
        <w:trPr/>
        <w:tc>
          <w:tcPr>
            <w:tcW w:w="3659"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659" w:type="dxa"/>
            <w:tcBorders/>
          </w:tcPr>
          <w:p>
            <w:pPr>
              <w:pStyle w:val="TableContents"/>
              <w:bidi w:val="0"/>
              <w:spacing w:before="0" w:after="0"/>
              <w:jc w:val="left"/>
              <w:rPr>
                <w:rFonts w:ascii="Times New Roman" w:hAnsi="Times New Roman"/>
                <w:sz w:val="20"/>
              </w:rPr>
            </w:pPr>
            <w:r>
              <w:rPr>
                <w:rFonts w:ascii="Times New Roman" w:hAnsi="Times New Roman"/>
                <w:sz w:val="20"/>
              </w:rPr>
              <w:t>Total financial assets</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5" w:type="dxa"/>
            <w:tcBorders/>
            <w:vAlign w:val="bottom"/>
          </w:tcPr>
          <w:p>
            <w:pPr>
              <w:pStyle w:val="TableContents"/>
              <w:bidi w:val="0"/>
              <w:spacing w:before="0" w:after="283"/>
              <w:jc w:val="right"/>
              <w:rPr/>
            </w:pPr>
            <w:r>
              <w:rPr/>
              <w:t>132,659</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4" w:type="dxa"/>
            <w:tcBorders/>
            <w:vAlign w:val="bottom"/>
          </w:tcPr>
          <w:p>
            <w:pPr>
              <w:pStyle w:val="TableContents"/>
              <w:bidi w:val="0"/>
              <w:spacing w:before="0" w:after="283"/>
              <w:jc w:val="right"/>
              <w:rPr/>
            </w:pPr>
            <w:r>
              <w:rPr/>
              <w:t>17,427</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5" w:type="dxa"/>
            <w:tcBorders/>
            <w:vAlign w:val="bottom"/>
          </w:tcPr>
          <w:p>
            <w:pPr>
              <w:pStyle w:val="TableContents"/>
              <w:bidi w:val="0"/>
              <w:spacing w:before="0" w:after="283"/>
              <w:jc w:val="right"/>
              <w:rPr/>
            </w:pPr>
            <w:r>
              <w:rPr/>
              <w:t>150,086</w:t>
            </w:r>
          </w:p>
        </w:tc>
        <w:tc>
          <w:tcPr>
            <w:tcW w:w="66" w:type="dxa"/>
            <w:tcBorders/>
            <w:vAlign w:val="bottom"/>
          </w:tcPr>
          <w:p>
            <w:pPr>
              <w:pStyle w:val="TableContents"/>
              <w:bidi w:val="0"/>
              <w:spacing w:before="0" w:after="283"/>
              <w:jc w:val="left"/>
              <w:rPr/>
            </w:pPr>
            <w:r>
              <w:rPr/>
              <w:t> </w:t>
            </w:r>
          </w:p>
        </w:tc>
      </w:tr>
      <w:tr>
        <w:trPr/>
        <w:tc>
          <w:tcPr>
            <w:tcW w:w="3659"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5"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3659"/>
        <w:gridCol w:w="289"/>
        <w:gridCol w:w="140"/>
        <w:gridCol w:w="855"/>
        <w:gridCol w:w="60"/>
        <w:gridCol w:w="289"/>
        <w:gridCol w:w="140"/>
        <w:gridCol w:w="714"/>
        <w:gridCol w:w="60"/>
        <w:gridCol w:w="289"/>
        <w:gridCol w:w="203"/>
        <w:gridCol w:w="567"/>
        <w:gridCol w:w="60"/>
        <w:gridCol w:w="288"/>
        <w:gridCol w:w="140"/>
        <w:gridCol w:w="855"/>
        <w:gridCol w:w="66"/>
      </w:tblGrid>
      <w:tr>
        <w:trPr/>
        <w:tc>
          <w:tcPr>
            <w:tcW w:w="3659"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659"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466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March 31, 2026</w:t>
            </w:r>
          </w:p>
        </w:tc>
        <w:tc>
          <w:tcPr>
            <w:tcW w:w="66" w:type="dxa"/>
            <w:tcBorders/>
            <w:vAlign w:val="bottom"/>
          </w:tcPr>
          <w:p>
            <w:pPr>
              <w:pStyle w:val="TableContents"/>
              <w:bidi w:val="0"/>
              <w:spacing w:before="0" w:after="283"/>
              <w:jc w:val="left"/>
              <w:rPr/>
            </w:pPr>
            <w:r>
              <w:rPr/>
              <w:t> </w:t>
            </w:r>
          </w:p>
        </w:tc>
      </w:tr>
      <w:tr>
        <w:trPr/>
        <w:tc>
          <w:tcPr>
            <w:tcW w:w="3659"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8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36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5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659"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5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6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5" w:type="dxa"/>
            <w:tcBorders/>
            <w:shd w:fill="CCEEFF" w:val="clear"/>
            <w:vAlign w:val="bottom"/>
          </w:tcPr>
          <w:p>
            <w:pPr>
              <w:pStyle w:val="TableContents"/>
              <w:bidi w:val="0"/>
              <w:spacing w:before="0" w:after="283"/>
              <w:jc w:val="right"/>
              <w:rPr/>
            </w:pPr>
            <w:r>
              <w:rPr/>
              <w:t>42,447</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5" w:type="dxa"/>
            <w:tcBorders/>
            <w:shd w:fill="CCEEFF" w:val="clear"/>
            <w:vAlign w:val="bottom"/>
          </w:tcPr>
          <w:p>
            <w:pPr>
              <w:pStyle w:val="TableContents"/>
              <w:bidi w:val="0"/>
              <w:spacing w:before="0" w:after="283"/>
              <w:jc w:val="right"/>
              <w:rPr/>
            </w:pPr>
            <w:r>
              <w:rPr/>
              <w:t>42,447</w:t>
            </w:r>
          </w:p>
        </w:tc>
        <w:tc>
          <w:tcPr>
            <w:tcW w:w="66" w:type="dxa"/>
            <w:tcBorders/>
            <w:shd w:fill="CCEEFF" w:val="clear"/>
            <w:vAlign w:val="bottom"/>
          </w:tcPr>
          <w:p>
            <w:pPr>
              <w:pStyle w:val="TableContents"/>
              <w:bidi w:val="0"/>
              <w:spacing w:before="0" w:after="283"/>
              <w:jc w:val="left"/>
              <w:rPr/>
            </w:pPr>
            <w:r>
              <w:rPr/>
              <w:t> </w:t>
            </w:r>
          </w:p>
        </w:tc>
      </w:tr>
      <w:tr>
        <w:trPr/>
        <w:tc>
          <w:tcPr>
            <w:tcW w:w="3659"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5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6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Treasury notes</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74,467</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74,467</w:t>
            </w:r>
          </w:p>
        </w:tc>
        <w:tc>
          <w:tcPr>
            <w:tcW w:w="66" w:type="dxa"/>
            <w:tcBorders/>
            <w:shd w:fill="CCEEFF" w:val="clear"/>
            <w:vAlign w:val="bottom"/>
          </w:tcPr>
          <w:p>
            <w:pPr>
              <w:pStyle w:val="TableContents"/>
              <w:bidi w:val="0"/>
              <w:spacing w:before="0" w:after="283"/>
              <w:jc w:val="left"/>
              <w:rPr/>
            </w:pPr>
            <w:r>
              <w:rPr/>
              <w:t> </w:t>
            </w:r>
          </w:p>
        </w:tc>
      </w:tr>
      <w:tr>
        <w:trPr/>
        <w:tc>
          <w:tcPr>
            <w:tcW w:w="3659" w:type="dxa"/>
            <w:tcBorders/>
          </w:tcPr>
          <w:p>
            <w:pPr>
              <w:pStyle w:val="TableContents"/>
              <w:bidi w:val="0"/>
              <w:spacing w:before="0" w:after="0"/>
              <w:jc w:val="left"/>
              <w:rPr>
                <w:rFonts w:ascii="Times New Roman" w:hAnsi="Times New Roman"/>
                <w:sz w:val="20"/>
              </w:rPr>
            </w:pPr>
            <w:r>
              <w:rPr>
                <w:rFonts w:ascii="Times New Roman" w:hAnsi="Times New Roman"/>
                <w:sz w:val="20"/>
              </w:rPr>
              <w:t>U.S. Treasury bills</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14,858</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14,858</w:t>
            </w:r>
          </w:p>
        </w:tc>
        <w:tc>
          <w:tcPr>
            <w:tcW w:w="66" w:type="dxa"/>
            <w:tcBorders/>
            <w:vAlign w:val="bottom"/>
          </w:tcPr>
          <w:p>
            <w:pPr>
              <w:pStyle w:val="TableContents"/>
              <w:bidi w:val="0"/>
              <w:spacing w:before="0" w:after="283"/>
              <w:jc w:val="left"/>
              <w:rPr/>
            </w:pPr>
            <w:r>
              <w:rPr/>
              <w:t> </w:t>
            </w:r>
          </w:p>
        </w:tc>
      </w:tr>
      <w:tr>
        <w:trPr/>
        <w:tc>
          <w:tcPr>
            <w:tcW w:w="3659"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6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financial assets</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5" w:type="dxa"/>
            <w:tcBorders/>
            <w:shd w:fill="CCEEFF" w:val="clear"/>
            <w:vAlign w:val="bottom"/>
          </w:tcPr>
          <w:p>
            <w:pPr>
              <w:pStyle w:val="TableContents"/>
              <w:bidi w:val="0"/>
              <w:spacing w:before="0" w:after="283"/>
              <w:jc w:val="right"/>
              <w:rPr/>
            </w:pPr>
            <w:r>
              <w:rPr/>
              <w:t>116,914</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14,858</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5" w:type="dxa"/>
            <w:tcBorders/>
            <w:shd w:fill="CCEEFF" w:val="clear"/>
            <w:vAlign w:val="bottom"/>
          </w:tcPr>
          <w:p>
            <w:pPr>
              <w:pStyle w:val="TableContents"/>
              <w:bidi w:val="0"/>
              <w:spacing w:before="0" w:after="283"/>
              <w:jc w:val="right"/>
              <w:rPr/>
            </w:pPr>
            <w:r>
              <w:rPr/>
              <w:t>131,772</w:t>
            </w:r>
          </w:p>
        </w:tc>
        <w:tc>
          <w:tcPr>
            <w:tcW w:w="66" w:type="dxa"/>
            <w:tcBorders/>
            <w:shd w:fill="CCEEFF" w:val="clear"/>
            <w:vAlign w:val="bottom"/>
          </w:tcPr>
          <w:p>
            <w:pPr>
              <w:pStyle w:val="TableContents"/>
              <w:bidi w:val="0"/>
              <w:spacing w:before="0" w:after="283"/>
              <w:jc w:val="left"/>
              <w:rPr/>
            </w:pPr>
            <w:r>
              <w:rPr/>
              <w:t> </w:t>
            </w:r>
          </w:p>
        </w:tc>
      </w:tr>
      <w:tr>
        <w:trPr/>
        <w:tc>
          <w:tcPr>
            <w:tcW w:w="3659"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5"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following table presents a summary of the changes in the fair value of the Company’s Level 3 financial instruments that are measured at fair value on a recurring basis (in thousands):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5935"/>
        <w:gridCol w:w="756"/>
        <w:gridCol w:w="326"/>
        <w:gridCol w:w="1500"/>
        <w:gridCol w:w="157"/>
      </w:tblGrid>
      <w:tr>
        <w:trPr/>
        <w:tc>
          <w:tcPr>
            <w:tcW w:w="5935" w:type="dxa"/>
            <w:tcBorders/>
            <w:vAlign w:val="center"/>
          </w:tcPr>
          <w:p>
            <w:pPr>
              <w:pStyle w:val="TableContents"/>
              <w:bidi w:val="0"/>
              <w:spacing w:before="0" w:after="283"/>
              <w:jc w:val="left"/>
              <w:rPr>
                <w:sz w:val="4"/>
                <w:szCs w:val="4"/>
              </w:rPr>
            </w:pPr>
            <w:r>
              <w:rPr>
                <w:sz w:val="4"/>
                <w:szCs w:val="4"/>
              </w:rPr>
            </w:r>
          </w:p>
        </w:tc>
        <w:tc>
          <w:tcPr>
            <w:tcW w:w="756" w:type="dxa"/>
            <w:tcBorders/>
            <w:vAlign w:val="bottom"/>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5"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left"/>
              <w:rPr/>
            </w:pPr>
            <w:r>
              <w:rPr/>
              <w:t>  </w:t>
            </w:r>
          </w:p>
        </w:tc>
        <w:tc>
          <w:tcPr>
            <w:tcW w:w="18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Preferred Stock</w:t>
              <w:br/>
              <w:t>Tranche Liability</w:t>
            </w:r>
          </w:p>
        </w:tc>
        <w:tc>
          <w:tcPr>
            <w:tcW w:w="157" w:type="dxa"/>
            <w:tcBorders/>
            <w:vAlign w:val="bottom"/>
          </w:tcPr>
          <w:p>
            <w:pPr>
              <w:pStyle w:val="TableContents"/>
              <w:bidi w:val="0"/>
              <w:spacing w:before="0" w:after="283"/>
              <w:jc w:val="left"/>
              <w:rPr/>
            </w:pPr>
            <w:r>
              <w:rPr/>
              <w:t> </w:t>
            </w:r>
          </w:p>
        </w:tc>
      </w:tr>
      <w:tr>
        <w:trPr/>
        <w:tc>
          <w:tcPr>
            <w:tcW w:w="59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Fair value as of December 31, 2024</w:t>
            </w:r>
          </w:p>
        </w:tc>
        <w:tc>
          <w:tcPr>
            <w:tcW w:w="75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w:t>
            </w:r>
          </w:p>
        </w:tc>
        <w:tc>
          <w:tcPr>
            <w:tcW w:w="1500" w:type="dxa"/>
            <w:tcBorders/>
            <w:shd w:fill="CCEEFF" w:val="clear"/>
            <w:vAlign w:val="bottom"/>
          </w:tcPr>
          <w:p>
            <w:pPr>
              <w:pStyle w:val="TableContents"/>
              <w:bidi w:val="0"/>
              <w:spacing w:before="0" w:after="283"/>
              <w:jc w:val="right"/>
              <w:rPr/>
            </w:pPr>
            <w:r>
              <w:rPr/>
              <w:t>6,638</w:t>
            </w:r>
          </w:p>
        </w:tc>
        <w:tc>
          <w:tcPr>
            <w:tcW w:w="157" w:type="dxa"/>
            <w:tcBorders/>
            <w:shd w:fill="CCEEFF" w:val="clear"/>
            <w:vAlign w:val="bottom"/>
          </w:tcPr>
          <w:p>
            <w:pPr>
              <w:pStyle w:val="TableContents"/>
              <w:bidi w:val="0"/>
              <w:spacing w:before="0" w:after="283"/>
              <w:jc w:val="left"/>
              <w:rPr/>
            </w:pPr>
            <w:r>
              <w:rPr/>
              <w:t> </w:t>
            </w:r>
          </w:p>
        </w:tc>
      </w:tr>
      <w:tr>
        <w:trPr/>
        <w:tc>
          <w:tcPr>
            <w:tcW w:w="5935" w:type="dxa"/>
            <w:tcBorders/>
          </w:tcPr>
          <w:p>
            <w:pPr>
              <w:pStyle w:val="TableContents"/>
              <w:bidi w:val="0"/>
              <w:spacing w:before="0" w:after="0"/>
              <w:jc w:val="left"/>
              <w:rPr>
                <w:rFonts w:ascii="Times New Roman" w:hAnsi="Times New Roman"/>
                <w:sz w:val="20"/>
              </w:rPr>
            </w:pPr>
            <w:r>
              <w:rPr>
                <w:rFonts w:ascii="Times New Roman" w:hAnsi="Times New Roman"/>
                <w:sz w:val="20"/>
              </w:rPr>
              <w:t>Change in the fair value of Series B preferred stock tranche liability</w:t>
            </w:r>
          </w:p>
        </w:tc>
        <w:tc>
          <w:tcPr>
            <w:tcW w:w="756"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500" w:type="dxa"/>
            <w:tcBorders/>
            <w:vAlign w:val="bottom"/>
          </w:tcPr>
          <w:p>
            <w:pPr>
              <w:pStyle w:val="TableContents"/>
              <w:bidi w:val="0"/>
              <w:spacing w:before="0" w:after="283"/>
              <w:jc w:val="right"/>
              <w:rPr/>
            </w:pPr>
            <w:r>
              <w:rPr/>
              <w:t>170</w:t>
            </w:r>
          </w:p>
        </w:tc>
        <w:tc>
          <w:tcPr>
            <w:tcW w:w="157" w:type="dxa"/>
            <w:tcBorders/>
            <w:vAlign w:val="bottom"/>
          </w:tcPr>
          <w:p>
            <w:pPr>
              <w:pStyle w:val="TableContents"/>
              <w:bidi w:val="0"/>
              <w:spacing w:before="0" w:after="283"/>
              <w:jc w:val="left"/>
              <w:rPr/>
            </w:pPr>
            <w:r>
              <w:rPr/>
              <w:t> </w:t>
            </w:r>
          </w:p>
        </w:tc>
      </w:tr>
      <w:tr>
        <w:trPr/>
        <w:tc>
          <w:tcPr>
            <w:tcW w:w="5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upon settlement</w:t>
            </w:r>
          </w:p>
        </w:tc>
        <w:tc>
          <w:tcPr>
            <w:tcW w:w="75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500" w:type="dxa"/>
            <w:tcBorders/>
            <w:shd w:fill="CCEEFF" w:val="clear"/>
            <w:vAlign w:val="bottom"/>
          </w:tcPr>
          <w:p>
            <w:pPr>
              <w:pStyle w:val="TableContents"/>
              <w:bidi w:val="0"/>
              <w:spacing w:before="0" w:after="283"/>
              <w:jc w:val="right"/>
              <w:rPr/>
            </w:pPr>
            <w:r>
              <w:rPr/>
              <w:t>(6,808</w:t>
            </w:r>
          </w:p>
        </w:tc>
        <w:tc>
          <w:tcPr>
            <w:tcW w:w="157" w:type="dxa"/>
            <w:tcBorders/>
            <w:shd w:fill="CCEEFF" w:val="clear"/>
            <w:vAlign w:val="bottom"/>
          </w:tcPr>
          <w:p>
            <w:pPr>
              <w:pStyle w:val="TableContents"/>
              <w:bidi w:val="0"/>
              <w:spacing w:before="0" w:after="283"/>
              <w:jc w:val="left"/>
              <w:rPr/>
            </w:pPr>
            <w:r>
              <w:rPr/>
              <w:t>) </w:t>
            </w:r>
          </w:p>
        </w:tc>
      </w:tr>
      <w:tr>
        <w:trPr/>
        <w:tc>
          <w:tcPr>
            <w:tcW w:w="5935" w:type="dxa"/>
            <w:tcBorders/>
            <w:vAlign w:val="bottom"/>
          </w:tcPr>
          <w:p>
            <w:pPr>
              <w:pStyle w:val="TableContents"/>
              <w:bidi w:val="0"/>
              <w:spacing w:before="0" w:after="283"/>
              <w:jc w:val="left"/>
              <w:rPr>
                <w:sz w:val="4"/>
                <w:szCs w:val="4"/>
              </w:rPr>
            </w:pPr>
            <w:r>
              <w:rPr>
                <w:sz w:val="4"/>
                <w:szCs w:val="4"/>
              </w:rPr>
            </w:r>
          </w:p>
        </w:tc>
        <w:tc>
          <w:tcPr>
            <w:tcW w:w="756"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single" w:sz="2" w:space="1" w:color="000000"/>
              </w:pBdr>
              <w:bidi w:val="0"/>
              <w:spacing w:before="0" w:after="0"/>
              <w:jc w:val="left"/>
              <w:rPr/>
            </w:pPr>
            <w:r>
              <w:rPr/>
              <w:t> </w:t>
            </w:r>
          </w:p>
        </w:tc>
        <w:tc>
          <w:tcPr>
            <w:tcW w:w="1500"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935" w:type="dxa"/>
            <w:tcBorders/>
          </w:tcPr>
          <w:p>
            <w:pPr>
              <w:pStyle w:val="TableContents"/>
              <w:bidi w:val="0"/>
              <w:spacing w:before="0" w:after="0"/>
              <w:jc w:val="left"/>
              <w:rPr>
                <w:rFonts w:ascii="Times New Roman" w:hAnsi="Times New Roman"/>
                <w:b/>
                <w:sz w:val="20"/>
              </w:rPr>
            </w:pPr>
            <w:r>
              <w:rPr>
                <w:rFonts w:ascii="Times New Roman" w:hAnsi="Times New Roman"/>
                <w:b/>
                <w:sz w:val="20"/>
              </w:rPr>
              <w:t>Fair value as of March 31, 2025</w:t>
            </w:r>
          </w:p>
        </w:tc>
        <w:tc>
          <w:tcPr>
            <w:tcW w:w="756"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w:t>
            </w:r>
          </w:p>
        </w:tc>
        <w:tc>
          <w:tcPr>
            <w:tcW w:w="1500"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5935" w:type="dxa"/>
            <w:tcBorders/>
            <w:vAlign w:val="bottom"/>
          </w:tcPr>
          <w:p>
            <w:pPr>
              <w:pStyle w:val="TableContents"/>
              <w:bidi w:val="0"/>
              <w:spacing w:before="0" w:after="283"/>
              <w:jc w:val="left"/>
              <w:rPr>
                <w:sz w:val="4"/>
                <w:szCs w:val="4"/>
              </w:rPr>
            </w:pPr>
            <w:r>
              <w:rPr>
                <w:sz w:val="4"/>
                <w:szCs w:val="4"/>
              </w:rPr>
            </w:r>
          </w:p>
        </w:tc>
        <w:tc>
          <w:tcPr>
            <w:tcW w:w="756"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double" w:sz="6" w:space="1" w:color="000000"/>
              </w:pBdr>
              <w:bidi w:val="0"/>
              <w:spacing w:before="0" w:after="0"/>
              <w:jc w:val="left"/>
              <w:rPr/>
            </w:pPr>
            <w:r>
              <w:rPr/>
              <w:t> </w:t>
            </w:r>
          </w:p>
        </w:tc>
        <w:tc>
          <w:tcPr>
            <w:tcW w:w="1500"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fair value of the preferred stock tranche liability is based on significant unobservable inputs, which represent Level 3 measurements within the fair value hierarchy (see Note 8). </w:t>
      </w:r>
    </w:p>
    <w:p>
      <w:pPr>
        <w:pStyle w:val="TextBody"/>
        <w:bidi w:val="0"/>
        <w:spacing w:before="120" w:after="0"/>
        <w:jc w:val="both"/>
        <w:rPr>
          <w:rFonts w:ascii="Times New Roman" w:hAnsi="Times New Roman"/>
          <w:sz w:val="20"/>
        </w:rPr>
      </w:pPr>
      <w:r>
        <w:rPr>
          <w:rFonts w:ascii="Times New Roman" w:hAnsi="Times New Roman"/>
          <w:sz w:val="20"/>
        </w:rPr>
        <w:t xml:space="preserve">There were no transfers in and out of Level 3 during the three months ended March 31, 2025 and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Balance Sheet Components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Marketable Securities </w:t>
      </w:r>
    </w:p>
    <w:p>
      <w:pPr>
        <w:pStyle w:val="TextBody"/>
        <w:bidi w:val="0"/>
        <w:spacing w:before="120" w:after="0"/>
        <w:jc w:val="both"/>
        <w:rPr>
          <w:rFonts w:ascii="Times New Roman" w:hAnsi="Times New Roman"/>
          <w:sz w:val="20"/>
        </w:rPr>
      </w:pPr>
      <w:r>
        <w:rPr>
          <w:rFonts w:ascii="Times New Roman" w:hAnsi="Times New Roman"/>
          <w:sz w:val="20"/>
        </w:rPr>
        <w:t xml:space="preserve">Marketable securities, which are classified as available-for-sale, consisted of the following as of December 31, 2025 and March 31, 2026 (in thousands):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2789"/>
        <w:gridCol w:w="269"/>
        <w:gridCol w:w="163"/>
        <w:gridCol w:w="961"/>
        <w:gridCol w:w="60"/>
        <w:gridCol w:w="269"/>
        <w:gridCol w:w="304"/>
        <w:gridCol w:w="833"/>
        <w:gridCol w:w="60"/>
        <w:gridCol w:w="269"/>
        <w:gridCol w:w="304"/>
        <w:gridCol w:w="833"/>
        <w:gridCol w:w="155"/>
        <w:gridCol w:w="269"/>
        <w:gridCol w:w="153"/>
        <w:gridCol w:w="915"/>
        <w:gridCol w:w="68"/>
      </w:tblGrid>
      <w:tr>
        <w:trPr/>
        <w:tc>
          <w:tcPr>
            <w:tcW w:w="2789"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789"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554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8" w:type="dxa"/>
            <w:tcBorders/>
            <w:vAlign w:val="bottom"/>
          </w:tcPr>
          <w:p>
            <w:pPr>
              <w:pStyle w:val="TableContents"/>
              <w:bidi w:val="0"/>
              <w:spacing w:before="0" w:after="283"/>
              <w:jc w:val="left"/>
              <w:rPr/>
            </w:pPr>
            <w:r>
              <w:rPr/>
              <w:t> </w:t>
            </w:r>
          </w:p>
        </w:tc>
      </w:tr>
      <w:tr>
        <w:trPr/>
        <w:tc>
          <w:tcPr>
            <w:tcW w:w="2789"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1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Unrealized</w:t>
              <w:br/>
              <w:t>Gain</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Unrealized</w:t>
              <w:br/>
              <w:t>Loss</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0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Estimated</w:t>
              <w:br/>
              <w:t>Fair Value</w:t>
            </w:r>
          </w:p>
        </w:tc>
        <w:tc>
          <w:tcPr>
            <w:tcW w:w="68" w:type="dxa"/>
            <w:tcBorders/>
            <w:vAlign w:val="bottom"/>
          </w:tcPr>
          <w:p>
            <w:pPr>
              <w:pStyle w:val="TableContents"/>
              <w:bidi w:val="0"/>
              <w:spacing w:before="0" w:after="283"/>
              <w:jc w:val="left"/>
              <w:rPr/>
            </w:pPr>
            <w:r>
              <w:rPr/>
              <w:t> </w:t>
            </w:r>
          </w:p>
        </w:tc>
      </w:tr>
      <w:tr>
        <w:trPr/>
        <w:tc>
          <w:tcPr>
            <w:tcW w:w="27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Treasury notes</w:t>
            </w:r>
          </w:p>
        </w:tc>
        <w:tc>
          <w:tcPr>
            <w:tcW w:w="26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61" w:type="dxa"/>
            <w:tcBorders/>
            <w:shd w:fill="CCEEFF" w:val="clear"/>
            <w:vAlign w:val="bottom"/>
          </w:tcPr>
          <w:p>
            <w:pPr>
              <w:pStyle w:val="TableContents"/>
              <w:bidi w:val="0"/>
              <w:spacing w:before="0" w:after="283"/>
              <w:jc w:val="right"/>
              <w:rPr/>
            </w:pPr>
            <w:r>
              <w:rPr/>
              <w:t>82,309</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833" w:type="dxa"/>
            <w:tcBorders/>
            <w:shd w:fill="CCEEFF" w:val="clear"/>
            <w:vAlign w:val="bottom"/>
          </w:tcPr>
          <w:p>
            <w:pPr>
              <w:pStyle w:val="TableContents"/>
              <w:bidi w:val="0"/>
              <w:spacing w:before="0" w:after="283"/>
              <w:jc w:val="right"/>
              <w:rPr/>
            </w:pPr>
            <w:r>
              <w:rPr/>
              <w:t>89</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833"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915" w:type="dxa"/>
            <w:tcBorders/>
            <w:shd w:fill="CCEEFF" w:val="clear"/>
            <w:vAlign w:val="bottom"/>
          </w:tcPr>
          <w:p>
            <w:pPr>
              <w:pStyle w:val="TableContents"/>
              <w:bidi w:val="0"/>
              <w:spacing w:before="0" w:after="283"/>
              <w:jc w:val="right"/>
              <w:rPr/>
            </w:pPr>
            <w:r>
              <w:rPr/>
              <w:t>82,397</w:t>
            </w:r>
          </w:p>
        </w:tc>
        <w:tc>
          <w:tcPr>
            <w:tcW w:w="68" w:type="dxa"/>
            <w:tcBorders/>
            <w:shd w:fill="CCEEFF" w:val="clear"/>
            <w:vAlign w:val="bottom"/>
          </w:tcPr>
          <w:p>
            <w:pPr>
              <w:pStyle w:val="TableContents"/>
              <w:bidi w:val="0"/>
              <w:spacing w:before="0" w:after="283"/>
              <w:jc w:val="left"/>
              <w:rPr/>
            </w:pPr>
            <w:r>
              <w:rPr/>
              <w:t> </w:t>
            </w:r>
          </w:p>
        </w:tc>
      </w:tr>
      <w:tr>
        <w:trPr/>
        <w:tc>
          <w:tcPr>
            <w:tcW w:w="2789" w:type="dxa"/>
            <w:tcBorders/>
          </w:tcPr>
          <w:p>
            <w:pPr>
              <w:pStyle w:val="TableContents"/>
              <w:bidi w:val="0"/>
              <w:spacing w:before="0" w:after="0"/>
              <w:jc w:val="left"/>
              <w:rPr>
                <w:rFonts w:ascii="Times New Roman" w:hAnsi="Times New Roman"/>
                <w:sz w:val="20"/>
              </w:rPr>
            </w:pPr>
            <w:r>
              <w:rPr>
                <w:rFonts w:ascii="Times New Roman" w:hAnsi="Times New Roman"/>
                <w:sz w:val="20"/>
              </w:rPr>
              <w:t>U.S. Treasury bills</w:t>
            </w:r>
          </w:p>
        </w:tc>
        <w:tc>
          <w:tcPr>
            <w:tcW w:w="26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right"/>
              <w:rPr/>
            </w:pPr>
            <w:r>
              <w:rPr/>
              <w:t>29,667</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29,678</w:t>
            </w:r>
          </w:p>
        </w:tc>
        <w:tc>
          <w:tcPr>
            <w:tcW w:w="68" w:type="dxa"/>
            <w:tcBorders/>
            <w:vAlign w:val="bottom"/>
          </w:tcPr>
          <w:p>
            <w:pPr>
              <w:pStyle w:val="TableContents"/>
              <w:bidi w:val="0"/>
              <w:spacing w:before="0" w:after="283"/>
              <w:jc w:val="left"/>
              <w:rPr/>
            </w:pPr>
            <w:r>
              <w:rPr/>
              <w:t> </w:t>
            </w:r>
          </w:p>
        </w:tc>
      </w:tr>
      <w:tr>
        <w:trPr/>
        <w:tc>
          <w:tcPr>
            <w:tcW w:w="2789"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27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Available-for-sale marketable securities</w:t>
            </w:r>
          </w:p>
        </w:tc>
        <w:tc>
          <w:tcPr>
            <w:tcW w:w="26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61" w:type="dxa"/>
            <w:tcBorders/>
            <w:shd w:fill="CCEEFF" w:val="clear"/>
            <w:vAlign w:val="bottom"/>
          </w:tcPr>
          <w:p>
            <w:pPr>
              <w:pStyle w:val="TableContents"/>
              <w:bidi w:val="0"/>
              <w:spacing w:before="0" w:after="283"/>
              <w:jc w:val="right"/>
              <w:rPr/>
            </w:pPr>
            <w:r>
              <w:rPr/>
              <w:t>111,976</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833"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833"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915" w:type="dxa"/>
            <w:tcBorders/>
            <w:shd w:fill="CCEEFF" w:val="clear"/>
            <w:vAlign w:val="bottom"/>
          </w:tcPr>
          <w:p>
            <w:pPr>
              <w:pStyle w:val="TableContents"/>
              <w:bidi w:val="0"/>
              <w:spacing w:before="0" w:after="283"/>
              <w:jc w:val="right"/>
              <w:rPr/>
            </w:pPr>
            <w:r>
              <w:rPr/>
              <w:t>112,075</w:t>
            </w:r>
          </w:p>
        </w:tc>
        <w:tc>
          <w:tcPr>
            <w:tcW w:w="68" w:type="dxa"/>
            <w:tcBorders/>
            <w:shd w:fill="CCEEFF" w:val="clear"/>
            <w:vAlign w:val="bottom"/>
          </w:tcPr>
          <w:p>
            <w:pPr>
              <w:pStyle w:val="TableContents"/>
              <w:bidi w:val="0"/>
              <w:spacing w:before="0" w:after="283"/>
              <w:jc w:val="left"/>
              <w:rPr/>
            </w:pPr>
            <w:r>
              <w:rPr/>
              <w:t> </w:t>
            </w:r>
          </w:p>
        </w:tc>
      </w:tr>
      <w:tr>
        <w:trPr/>
        <w:tc>
          <w:tcPr>
            <w:tcW w:w="2789"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6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double" w:sz="6" w:space="1" w:color="000000"/>
              </w:pBdr>
              <w:bidi w:val="0"/>
              <w:spacing w:before="0" w:after="0"/>
              <w:jc w:val="left"/>
              <w:rPr/>
            </w:pPr>
            <w:r>
              <w:rPr/>
              <w:t> </w:t>
            </w:r>
          </w:p>
        </w:tc>
        <w:tc>
          <w:tcPr>
            <w:tcW w:w="8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double" w:sz="6" w:space="1" w:color="000000"/>
              </w:pBdr>
              <w:bidi w:val="0"/>
              <w:spacing w:before="0" w:after="0"/>
              <w:jc w:val="left"/>
              <w:rPr/>
            </w:pPr>
            <w:r>
              <w:rPr/>
              <w:t> </w:t>
            </w:r>
          </w:p>
        </w:tc>
        <w:tc>
          <w:tcPr>
            <w:tcW w:w="8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915"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rHeight w:val="240" w:hRule="atLeast"/>
        </w:trPr>
        <w:tc>
          <w:tcPr>
            <w:tcW w:w="2789" w:type="dxa"/>
            <w:tcBorders/>
            <w:vAlign w:val="center"/>
          </w:tcPr>
          <w:p>
            <w:pPr>
              <w:pStyle w:val="TableContents"/>
              <w:bidi w:val="0"/>
              <w:spacing w:before="0" w:after="283"/>
              <w:jc w:val="left"/>
              <w:rPr>
                <w:sz w:val="4"/>
                <w:szCs w:val="4"/>
              </w:rPr>
            </w:pPr>
            <w:r>
              <w:rPr>
                <w:sz w:val="4"/>
                <w:szCs w:val="4"/>
              </w:rPr>
            </w:r>
          </w:p>
        </w:tc>
        <w:tc>
          <w:tcPr>
            <w:tcW w:w="5885" w:type="dxa"/>
            <w:gridSpan w:val="16"/>
            <w:tcBorders/>
            <w:vAlign w:val="center"/>
          </w:tcPr>
          <w:p>
            <w:pPr>
              <w:pStyle w:val="TableContents"/>
              <w:bidi w:val="0"/>
              <w:spacing w:before="0" w:after="283"/>
              <w:jc w:val="left"/>
              <w:rPr>
                <w:sz w:val="4"/>
                <w:szCs w:val="4"/>
              </w:rPr>
            </w:pPr>
            <w:r>
              <w:rPr>
                <w:sz w:val="4"/>
                <w:szCs w:val="4"/>
              </w:rPr>
            </w:r>
          </w:p>
        </w:tc>
      </w:tr>
      <w:tr>
        <w:trPr/>
        <w:tc>
          <w:tcPr>
            <w:tcW w:w="2789"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554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March 31, 2026</w:t>
            </w:r>
          </w:p>
        </w:tc>
        <w:tc>
          <w:tcPr>
            <w:tcW w:w="68" w:type="dxa"/>
            <w:tcBorders/>
            <w:vAlign w:val="bottom"/>
          </w:tcPr>
          <w:p>
            <w:pPr>
              <w:pStyle w:val="TableContents"/>
              <w:bidi w:val="0"/>
              <w:spacing w:before="0" w:after="283"/>
              <w:jc w:val="left"/>
              <w:rPr/>
            </w:pPr>
            <w:r>
              <w:rPr/>
              <w:t> </w:t>
            </w:r>
          </w:p>
        </w:tc>
      </w:tr>
      <w:tr>
        <w:trPr/>
        <w:tc>
          <w:tcPr>
            <w:tcW w:w="2789"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1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Unrealized</w:t>
              <w:br/>
              <w:t>Gain</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Unrealized</w:t>
              <w:br/>
              <w:t>Loss</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0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Estimated</w:t>
              <w:br/>
              <w:t>Fair Value</w:t>
            </w:r>
          </w:p>
        </w:tc>
        <w:tc>
          <w:tcPr>
            <w:tcW w:w="68" w:type="dxa"/>
            <w:tcBorders/>
            <w:vAlign w:val="bottom"/>
          </w:tcPr>
          <w:p>
            <w:pPr>
              <w:pStyle w:val="TableContents"/>
              <w:bidi w:val="0"/>
              <w:spacing w:before="0" w:after="283"/>
              <w:jc w:val="left"/>
              <w:rPr/>
            </w:pPr>
            <w:r>
              <w:rPr/>
              <w:t> </w:t>
            </w:r>
          </w:p>
        </w:tc>
      </w:tr>
      <w:tr>
        <w:trPr/>
        <w:tc>
          <w:tcPr>
            <w:tcW w:w="27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Treasury notes</w:t>
            </w:r>
          </w:p>
        </w:tc>
        <w:tc>
          <w:tcPr>
            <w:tcW w:w="26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61" w:type="dxa"/>
            <w:tcBorders/>
            <w:shd w:fill="CCEEFF" w:val="clear"/>
            <w:vAlign w:val="bottom"/>
          </w:tcPr>
          <w:p>
            <w:pPr>
              <w:pStyle w:val="TableContents"/>
              <w:bidi w:val="0"/>
              <w:spacing w:before="0" w:after="283"/>
              <w:jc w:val="right"/>
              <w:rPr/>
            </w:pPr>
            <w:r>
              <w:rPr/>
              <w:t>74,496</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833" w:type="dxa"/>
            <w:tcBorders/>
            <w:shd w:fill="CCEEFF" w:val="clear"/>
            <w:vAlign w:val="bottom"/>
          </w:tcPr>
          <w:p>
            <w:pPr>
              <w:pStyle w:val="TableContents"/>
              <w:bidi w:val="0"/>
              <w:spacing w:before="0" w:after="283"/>
              <w:jc w:val="right"/>
              <w:rPr/>
            </w:pPr>
            <w:r>
              <w:rPr/>
              <w:t>12</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833"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915" w:type="dxa"/>
            <w:tcBorders/>
            <w:shd w:fill="CCEEFF" w:val="clear"/>
            <w:vAlign w:val="bottom"/>
          </w:tcPr>
          <w:p>
            <w:pPr>
              <w:pStyle w:val="TableContents"/>
              <w:bidi w:val="0"/>
              <w:spacing w:before="0" w:after="283"/>
              <w:jc w:val="right"/>
              <w:rPr/>
            </w:pPr>
            <w:r>
              <w:rPr/>
              <w:t>74,467</w:t>
            </w:r>
          </w:p>
        </w:tc>
        <w:tc>
          <w:tcPr>
            <w:tcW w:w="68" w:type="dxa"/>
            <w:tcBorders/>
            <w:shd w:fill="CCEEFF" w:val="clear"/>
            <w:vAlign w:val="bottom"/>
          </w:tcPr>
          <w:p>
            <w:pPr>
              <w:pStyle w:val="TableContents"/>
              <w:bidi w:val="0"/>
              <w:spacing w:before="0" w:after="283"/>
              <w:jc w:val="left"/>
              <w:rPr/>
            </w:pPr>
            <w:r>
              <w:rPr/>
              <w:t> </w:t>
            </w:r>
          </w:p>
        </w:tc>
      </w:tr>
      <w:tr>
        <w:trPr/>
        <w:tc>
          <w:tcPr>
            <w:tcW w:w="2789" w:type="dxa"/>
            <w:tcBorders/>
          </w:tcPr>
          <w:p>
            <w:pPr>
              <w:pStyle w:val="TableContents"/>
              <w:bidi w:val="0"/>
              <w:spacing w:before="0" w:after="0"/>
              <w:jc w:val="left"/>
              <w:rPr>
                <w:rFonts w:ascii="Times New Roman" w:hAnsi="Times New Roman"/>
                <w:sz w:val="20"/>
              </w:rPr>
            </w:pPr>
            <w:r>
              <w:rPr>
                <w:rFonts w:ascii="Times New Roman" w:hAnsi="Times New Roman"/>
                <w:sz w:val="20"/>
              </w:rPr>
              <w:t>U.S. Treasury bills</w:t>
            </w:r>
          </w:p>
        </w:tc>
        <w:tc>
          <w:tcPr>
            <w:tcW w:w="26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right"/>
              <w:rPr/>
            </w:pPr>
            <w:r>
              <w:rPr/>
              <w:t>14,859</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14,858</w:t>
            </w:r>
          </w:p>
        </w:tc>
        <w:tc>
          <w:tcPr>
            <w:tcW w:w="68" w:type="dxa"/>
            <w:tcBorders/>
            <w:vAlign w:val="bottom"/>
          </w:tcPr>
          <w:p>
            <w:pPr>
              <w:pStyle w:val="TableContents"/>
              <w:bidi w:val="0"/>
              <w:spacing w:before="0" w:after="283"/>
              <w:jc w:val="left"/>
              <w:rPr/>
            </w:pPr>
            <w:r>
              <w:rPr/>
              <w:t> </w:t>
            </w:r>
          </w:p>
        </w:tc>
      </w:tr>
      <w:tr>
        <w:trPr/>
        <w:tc>
          <w:tcPr>
            <w:tcW w:w="2789"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27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Available-for-sale marketable securities</w:t>
            </w:r>
          </w:p>
        </w:tc>
        <w:tc>
          <w:tcPr>
            <w:tcW w:w="26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61" w:type="dxa"/>
            <w:tcBorders/>
            <w:shd w:fill="CCEEFF" w:val="clear"/>
            <w:vAlign w:val="bottom"/>
          </w:tcPr>
          <w:p>
            <w:pPr>
              <w:pStyle w:val="TableContents"/>
              <w:bidi w:val="0"/>
              <w:spacing w:before="0" w:after="283"/>
              <w:jc w:val="right"/>
              <w:rPr/>
            </w:pPr>
            <w:r>
              <w:rPr/>
              <w:t>89,355</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833" w:type="dxa"/>
            <w:tcBorders/>
            <w:shd w:fill="CCEEFF" w:val="clear"/>
            <w:vAlign w:val="bottom"/>
          </w:tcPr>
          <w:p>
            <w:pPr>
              <w:pStyle w:val="TableContents"/>
              <w:bidi w:val="0"/>
              <w:spacing w:before="0" w:after="283"/>
              <w:jc w:val="right"/>
              <w:rPr/>
            </w:pPr>
            <w:r>
              <w:rPr/>
              <w:t>12</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833"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915" w:type="dxa"/>
            <w:tcBorders/>
            <w:shd w:fill="CCEEFF" w:val="clear"/>
            <w:vAlign w:val="bottom"/>
          </w:tcPr>
          <w:p>
            <w:pPr>
              <w:pStyle w:val="TableContents"/>
              <w:bidi w:val="0"/>
              <w:spacing w:before="0" w:after="283"/>
              <w:jc w:val="right"/>
              <w:rPr/>
            </w:pPr>
            <w:r>
              <w:rPr/>
              <w:t>89,325</w:t>
            </w:r>
          </w:p>
        </w:tc>
        <w:tc>
          <w:tcPr>
            <w:tcW w:w="68" w:type="dxa"/>
            <w:tcBorders/>
            <w:shd w:fill="CCEEFF" w:val="clear"/>
            <w:vAlign w:val="bottom"/>
          </w:tcPr>
          <w:p>
            <w:pPr>
              <w:pStyle w:val="TableContents"/>
              <w:bidi w:val="0"/>
              <w:spacing w:before="0" w:after="283"/>
              <w:jc w:val="left"/>
              <w:rPr/>
            </w:pPr>
            <w:r>
              <w:rPr/>
              <w:t> </w:t>
            </w:r>
          </w:p>
        </w:tc>
      </w:tr>
      <w:tr>
        <w:trPr/>
        <w:tc>
          <w:tcPr>
            <w:tcW w:w="2789"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6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double" w:sz="6" w:space="1" w:color="000000"/>
              </w:pBdr>
              <w:bidi w:val="0"/>
              <w:spacing w:before="0" w:after="0"/>
              <w:jc w:val="left"/>
              <w:rPr/>
            </w:pPr>
            <w:r>
              <w:rPr/>
              <w:t> </w:t>
            </w:r>
          </w:p>
        </w:tc>
        <w:tc>
          <w:tcPr>
            <w:tcW w:w="8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double" w:sz="6" w:space="1" w:color="000000"/>
              </w:pBdr>
              <w:bidi w:val="0"/>
              <w:spacing w:before="0" w:after="0"/>
              <w:jc w:val="left"/>
              <w:rPr/>
            </w:pPr>
            <w:r>
              <w:rPr/>
              <w:t> </w:t>
            </w:r>
          </w:p>
        </w:tc>
        <w:tc>
          <w:tcPr>
            <w:tcW w:w="8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915"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120" w:after="0"/>
        <w:jc w:val="both"/>
        <w:rPr>
          <w:rFonts w:ascii="Times New Roman" w:hAnsi="Times New Roman"/>
          <w:sz w:val="20"/>
        </w:rPr>
      </w:pPr>
      <w:r>
        <w:rPr>
          <w:rFonts w:ascii="Times New Roman" w:hAnsi="Times New Roman"/>
          <w:sz w:val="20"/>
        </w:rPr>
        <w:t xml:space="preserve">All marketable securities held as of December 31, 2025 and March 31, 2026 had contractual maturities of less than one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As of December 31, 2025 and March 31, 2026, no significant facts or circumstances were present to indicate a deterioration in the creditworthiness of the issuers of the marketable securities, and the Company has no requirement or intention to sell these securities before maturity or recovery of their amortized cost basis. The Company considered the current and expected future economic and market conditions and determined that its investments were not significantly impacted. For all securities with a fair value less than their amortized cost basis, the Company determined the decline in fair value below amortized cost basis to be immaterial and non-credit related, and therefore no allowance for losses has been recorded. For the three months ended March 31, 2025 and 2026, the Company did not recognize any impairment losses on its investments. </w:t>
      </w:r>
    </w:p>
    <w:p>
      <w:pPr>
        <w:pStyle w:val="TextBody"/>
        <w:bidi w:val="0"/>
        <w:spacing w:before="120" w:after="0"/>
        <w:jc w:val="both"/>
        <w:rPr>
          <w:rFonts w:ascii="Times New Roman" w:hAnsi="Times New Roman"/>
          <w:sz w:val="20"/>
        </w:rPr>
      </w:pPr>
      <w:r>
        <w:rPr>
          <w:rFonts w:ascii="Times New Roman" w:hAnsi="Times New Roman"/>
          <w:sz w:val="20"/>
        </w:rPr>
        <w:t xml:space="preserve">As of December 31, 2025 and March 31, 2026, accrued interest receivable was $0.9 million and $0.7 million, respectively, which were recorded in the prepaid expenses and other current assets on the condensed consolidated balance sheets.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Property and Equipment, Net </w:t>
      </w:r>
    </w:p>
    <w:p>
      <w:pPr>
        <w:pStyle w:val="TextBody"/>
        <w:bidi w:val="0"/>
        <w:spacing w:before="120" w:after="0"/>
        <w:jc w:val="both"/>
        <w:rPr>
          <w:rFonts w:ascii="Times New Roman" w:hAnsi="Times New Roman"/>
          <w:sz w:val="20"/>
        </w:rPr>
      </w:pPr>
      <w:r>
        <w:rPr>
          <w:rFonts w:ascii="Times New Roman" w:hAnsi="Times New Roman"/>
          <w:sz w:val="20"/>
        </w:rPr>
        <w:t xml:space="preserve">Property and equipment, net consists of the following (in thousands, except years):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1198"/>
        <w:gridCol w:w="124"/>
        <w:gridCol w:w="60"/>
        <w:gridCol w:w="3221"/>
        <w:gridCol w:w="60"/>
        <w:gridCol w:w="64"/>
        <w:gridCol w:w="353"/>
        <w:gridCol w:w="1604"/>
        <w:gridCol w:w="155"/>
        <w:gridCol w:w="64"/>
        <w:gridCol w:w="289"/>
        <w:gridCol w:w="1322"/>
        <w:gridCol w:w="160"/>
      </w:tblGrid>
      <w:tr>
        <w:trPr/>
        <w:tc>
          <w:tcPr>
            <w:tcW w:w="119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98" w:type="dxa"/>
            <w:tcBorders/>
            <w:vAlign w:val="bottom"/>
          </w:tcPr>
          <w:p>
            <w:pPr>
              <w:pStyle w:val="TableContents"/>
              <w:bidi w:val="0"/>
              <w:spacing w:before="0" w:after="283"/>
              <w:jc w:val="left"/>
              <w:rPr/>
            </w:pPr>
            <w:r>
              <w:rPr/>
              <w:t> </w:t>
            </w:r>
          </w:p>
        </w:tc>
        <w:tc>
          <w:tcPr>
            <w:tcW w:w="124" w:type="dxa"/>
            <w:vMerge w:val="restart"/>
            <w:tcBorders/>
            <w:vAlign w:val="bottom"/>
          </w:tcPr>
          <w:p>
            <w:pPr>
              <w:pStyle w:val="TableContents"/>
              <w:bidi w:val="0"/>
              <w:spacing w:before="0" w:after="283"/>
              <w:jc w:val="left"/>
              <w:rPr/>
            </w:pPr>
            <w:r>
              <w:rPr/>
              <w:t>  </w:t>
            </w:r>
          </w:p>
        </w:tc>
        <w:tc>
          <w:tcPr>
            <w:tcW w:w="3281"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Estimated Useful Life</w:t>
            </w:r>
            <w:r>
              <w:rPr/>
              <w:br/>
            </w:r>
            <w:r>
              <w:rPr>
                <w:b/>
              </w:rPr>
              <w:t>(in years)</w:t>
            </w:r>
          </w:p>
        </w:tc>
        <w:tc>
          <w:tcPr>
            <w:tcW w:w="60" w:type="dxa"/>
            <w:vMerge w:val="restart"/>
            <w:tcBorders/>
            <w:vAlign w:val="bottom"/>
          </w:tcPr>
          <w:p>
            <w:pPr>
              <w:pStyle w:val="TableContents"/>
              <w:bidi w:val="0"/>
              <w:spacing w:before="0" w:after="283"/>
              <w:jc w:val="left"/>
              <w:rPr/>
            </w:pPr>
            <w:r>
              <w:rPr/>
              <w:t> </w:t>
            </w:r>
          </w:p>
        </w:tc>
        <w:tc>
          <w:tcPr>
            <w:tcW w:w="64" w:type="dxa"/>
            <w:vMerge w:val="restart"/>
            <w:tcBorders/>
            <w:vAlign w:val="bottom"/>
          </w:tcPr>
          <w:p>
            <w:pPr>
              <w:pStyle w:val="TableContents"/>
              <w:bidi w:val="0"/>
              <w:spacing w:before="0" w:after="283"/>
              <w:jc w:val="left"/>
              <w:rPr/>
            </w:pPr>
            <w:r>
              <w:rPr/>
              <w:t> </w:t>
            </w:r>
          </w:p>
        </w:tc>
        <w:tc>
          <w:tcPr>
            <w:tcW w:w="1957"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5" w:type="dxa"/>
            <w:vMerge w:val="restart"/>
            <w:tcBorders/>
            <w:vAlign w:val="bottom"/>
          </w:tcPr>
          <w:p>
            <w:pPr>
              <w:pStyle w:val="TableContents"/>
              <w:bidi w:val="0"/>
              <w:spacing w:before="0" w:after="283"/>
              <w:jc w:val="left"/>
              <w:rPr/>
            </w:pPr>
            <w:r>
              <w:rPr/>
              <w:t> </w:t>
            </w:r>
          </w:p>
        </w:tc>
        <w:tc>
          <w:tcPr>
            <w:tcW w:w="64" w:type="dxa"/>
            <w:vMerge w:val="restart"/>
            <w:tcBorders/>
            <w:vAlign w:val="bottom"/>
          </w:tcPr>
          <w:p>
            <w:pPr>
              <w:pStyle w:val="TableContents"/>
              <w:bidi w:val="0"/>
              <w:spacing w:before="0" w:after="283"/>
              <w:jc w:val="left"/>
              <w:rPr/>
            </w:pPr>
            <w:r>
              <w:rPr/>
              <w:t> </w:t>
            </w:r>
          </w:p>
        </w:tc>
        <w:tc>
          <w:tcPr>
            <w:tcW w:w="1611"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March 31, 2026</w:t>
            </w:r>
          </w:p>
        </w:tc>
        <w:tc>
          <w:tcPr>
            <w:tcW w:w="160" w:type="dxa"/>
            <w:vMerge w:val="restart"/>
            <w:tcBorders/>
            <w:vAlign w:val="bottom"/>
          </w:tcPr>
          <w:p>
            <w:pPr>
              <w:pStyle w:val="TableContents"/>
              <w:bidi w:val="0"/>
              <w:spacing w:before="0" w:after="283"/>
              <w:jc w:val="left"/>
              <w:rPr/>
            </w:pPr>
            <w:r>
              <w:rPr/>
              <w:t> </w:t>
            </w:r>
          </w:p>
        </w:tc>
      </w:tr>
      <w:tr>
        <w:trPr/>
        <w:tc>
          <w:tcPr>
            <w:tcW w:w="1198" w:type="dxa"/>
            <w:tcBorders/>
            <w:vAlign w:val="bottom"/>
          </w:tcPr>
          <w:p>
            <w:pPr>
              <w:pStyle w:val="TableContents"/>
              <w:bidi w:val="0"/>
              <w:spacing w:before="0" w:after="283"/>
              <w:jc w:val="left"/>
              <w:rPr/>
            </w:pPr>
            <w:r>
              <w:rPr/>
              <w:t> </w:t>
            </w:r>
          </w:p>
        </w:tc>
        <w:tc>
          <w:tcPr>
            <w:tcW w:w="124" w:type="dxa"/>
            <w:vMerge w:val="continue"/>
            <w:tcBorders/>
            <w:vAlign w:val="bottom"/>
          </w:tcPr>
          <w:p>
            <w:pPr>
              <w:pStyle w:val="Normal"/>
              <w:bidi w:val="0"/>
              <w:jc w:val="left"/>
              <w:rPr/>
            </w:pPr>
            <w:r>
              <w:rPr/>
            </w:r>
          </w:p>
        </w:tc>
        <w:tc>
          <w:tcPr>
            <w:tcW w:w="3281"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4" w:type="dxa"/>
            <w:vMerge w:val="continue"/>
            <w:tcBorders>
              <w:bottom w:val="single" w:sz="8" w:space="0" w:color="000000"/>
            </w:tcBorders>
            <w:tcMar>
              <w:bottom w:w="28" w:type="dxa"/>
            </w:tcMar>
            <w:vAlign w:val="bottom"/>
          </w:tcPr>
          <w:p>
            <w:pPr>
              <w:pStyle w:val="Normal"/>
              <w:bidi w:val="0"/>
              <w:jc w:val="left"/>
              <w:rPr/>
            </w:pPr>
            <w:r>
              <w:rPr/>
            </w:r>
          </w:p>
        </w:tc>
        <w:tc>
          <w:tcPr>
            <w:tcW w:w="1957"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4" w:type="dxa"/>
            <w:vMerge w:val="continue"/>
            <w:tcBorders/>
            <w:vAlign w:val="bottom"/>
          </w:tcPr>
          <w:p>
            <w:pPr>
              <w:pStyle w:val="Normal"/>
              <w:bidi w:val="0"/>
              <w:jc w:val="left"/>
              <w:rPr/>
            </w:pPr>
            <w:r>
              <w:rPr/>
            </w:r>
          </w:p>
        </w:tc>
        <w:tc>
          <w:tcPr>
            <w:tcW w:w="1611" w:type="dxa"/>
            <w:gridSpan w:val="2"/>
            <w:vMerge w:val="continue"/>
            <w:tcBorders>
              <w:bottom w:val="single" w:sz="8" w:space="0" w:color="000000"/>
            </w:tcBorders>
            <w:tcMar>
              <w:bottom w:w="28" w:type="dxa"/>
            </w:tcMar>
            <w:vAlign w:val="bottom"/>
          </w:tcPr>
          <w:p>
            <w:pPr>
              <w:pStyle w:val="Normal"/>
              <w:bidi w:val="0"/>
              <w:jc w:val="left"/>
              <w:rPr/>
            </w:pPr>
            <w:r>
              <w:rPr/>
            </w:r>
          </w:p>
        </w:tc>
        <w:tc>
          <w:tcPr>
            <w:tcW w:w="160" w:type="dxa"/>
            <w:vMerge w:val="continue"/>
            <w:tcBorders/>
            <w:vAlign w:val="bottom"/>
          </w:tcPr>
          <w:p>
            <w:pPr>
              <w:pStyle w:val="Normal"/>
              <w:bidi w:val="0"/>
              <w:jc w:val="left"/>
              <w:rPr/>
            </w:pPr>
            <w:r>
              <w:rPr/>
            </w:r>
          </w:p>
        </w:tc>
      </w:tr>
      <w:tr>
        <w:trPr/>
        <w:tc>
          <w:tcPr>
            <w:tcW w:w="11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Laboratory equipment</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1" w:type="dxa"/>
            <w:tcBorders/>
            <w:shd w:fill="CCEEFF" w:val="clear"/>
            <w:vAlign w:val="bottom"/>
          </w:tcPr>
          <w:p>
            <w:pPr>
              <w:pStyle w:val="TableContents"/>
              <w:bidi w:val="0"/>
              <w:spacing w:before="0" w:after="283"/>
              <w:jc w:val="center"/>
              <w:rPr/>
            </w:pPr>
            <w:r>
              <w:rPr/>
              <w:t>5</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w:t>
            </w:r>
          </w:p>
        </w:tc>
        <w:tc>
          <w:tcPr>
            <w:tcW w:w="1604" w:type="dxa"/>
            <w:tcBorders/>
            <w:shd w:fill="CCEEFF" w:val="clear"/>
            <w:vAlign w:val="bottom"/>
          </w:tcPr>
          <w:p>
            <w:pPr>
              <w:pStyle w:val="TableContents"/>
              <w:bidi w:val="0"/>
              <w:spacing w:before="0" w:after="283"/>
              <w:jc w:val="right"/>
              <w:rPr/>
            </w:pPr>
            <w:r>
              <w:rPr/>
              <w:t>3,907</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w:t>
            </w:r>
          </w:p>
        </w:tc>
        <w:tc>
          <w:tcPr>
            <w:tcW w:w="1322" w:type="dxa"/>
            <w:tcBorders/>
            <w:shd w:fill="CCEEFF" w:val="clear"/>
            <w:vAlign w:val="bottom"/>
          </w:tcPr>
          <w:p>
            <w:pPr>
              <w:pStyle w:val="TableContents"/>
              <w:bidi w:val="0"/>
              <w:spacing w:before="0" w:after="283"/>
              <w:jc w:val="right"/>
              <w:rPr/>
            </w:pPr>
            <w:r>
              <w:rPr/>
              <w:t>4,195</w:t>
            </w:r>
          </w:p>
        </w:tc>
        <w:tc>
          <w:tcPr>
            <w:tcW w:w="160" w:type="dxa"/>
            <w:tcBorders/>
            <w:shd w:fill="CCEEFF" w:val="clear"/>
            <w:vAlign w:val="bottom"/>
          </w:tcPr>
          <w:p>
            <w:pPr>
              <w:pStyle w:val="TableContents"/>
              <w:bidi w:val="0"/>
              <w:spacing w:before="0" w:after="283"/>
              <w:jc w:val="left"/>
              <w:rPr/>
            </w:pPr>
            <w:r>
              <w:rPr/>
              <w:t> </w:t>
            </w:r>
          </w:p>
        </w:tc>
      </w:tr>
      <w:tr>
        <w:trPr/>
        <w:tc>
          <w:tcPr>
            <w:tcW w:w="1198" w:type="dxa"/>
            <w:tcBorders/>
          </w:tcPr>
          <w:p>
            <w:pPr>
              <w:pStyle w:val="TableContents"/>
              <w:bidi w:val="0"/>
              <w:spacing w:before="0" w:after="0"/>
              <w:jc w:val="left"/>
              <w:rPr>
                <w:rFonts w:ascii="Times New Roman" w:hAnsi="Times New Roman"/>
                <w:sz w:val="20"/>
              </w:rPr>
            </w:pPr>
            <w:r>
              <w:rPr>
                <w:rFonts w:ascii="Times New Roman" w:hAnsi="Times New Roman"/>
                <w:sz w:val="20"/>
              </w:rPr>
              <w:t>Computer equipment and software</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1" w:type="dxa"/>
            <w:tcBorders/>
            <w:vAlign w:val="bottom"/>
          </w:tcPr>
          <w:p>
            <w:pPr>
              <w:pStyle w:val="TableContents"/>
              <w:bidi w:val="0"/>
              <w:spacing w:before="0" w:after="283"/>
              <w:jc w:val="center"/>
              <w:rPr/>
            </w:pPr>
            <w:r>
              <w:rPr/>
              <w:t>3</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04" w:type="dxa"/>
            <w:tcBorders/>
            <w:vAlign w:val="bottom"/>
          </w:tcPr>
          <w:p>
            <w:pPr>
              <w:pStyle w:val="TableContents"/>
              <w:bidi w:val="0"/>
              <w:spacing w:before="0" w:after="283"/>
              <w:jc w:val="right"/>
              <w:rPr/>
            </w:pPr>
            <w:r>
              <w:rPr/>
              <w:t>245</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322" w:type="dxa"/>
            <w:tcBorders/>
            <w:vAlign w:val="bottom"/>
          </w:tcPr>
          <w:p>
            <w:pPr>
              <w:pStyle w:val="TableContents"/>
              <w:bidi w:val="0"/>
              <w:spacing w:before="0" w:after="283"/>
              <w:jc w:val="right"/>
              <w:rPr/>
            </w:pPr>
            <w:r>
              <w:rPr/>
              <w:t>245</w:t>
            </w:r>
          </w:p>
        </w:tc>
        <w:tc>
          <w:tcPr>
            <w:tcW w:w="160" w:type="dxa"/>
            <w:tcBorders/>
            <w:vAlign w:val="bottom"/>
          </w:tcPr>
          <w:p>
            <w:pPr>
              <w:pStyle w:val="TableContents"/>
              <w:bidi w:val="0"/>
              <w:spacing w:before="0" w:after="283"/>
              <w:jc w:val="left"/>
              <w:rPr/>
            </w:pPr>
            <w:r>
              <w:rPr/>
              <w:t> </w:t>
            </w:r>
          </w:p>
        </w:tc>
      </w:tr>
      <w:tr>
        <w:trPr/>
        <w:tc>
          <w:tcPr>
            <w:tcW w:w="11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1" w:type="dxa"/>
            <w:tcBorders/>
            <w:shd w:fill="CCEEFF" w:val="clear"/>
            <w:vAlign w:val="bottom"/>
          </w:tcPr>
          <w:p>
            <w:pPr>
              <w:pStyle w:val="TableContents"/>
              <w:bidi w:val="0"/>
              <w:spacing w:before="0" w:after="283"/>
              <w:jc w:val="center"/>
              <w:rPr/>
            </w:pPr>
            <w:r>
              <w:rPr/>
              <w:t>7</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604" w:type="dxa"/>
            <w:tcBorders/>
            <w:shd w:fill="CCEEFF" w:val="clear"/>
            <w:vAlign w:val="bottom"/>
          </w:tcPr>
          <w:p>
            <w:pPr>
              <w:pStyle w:val="TableContents"/>
              <w:bidi w:val="0"/>
              <w:spacing w:before="0" w:after="283"/>
              <w:jc w:val="right"/>
              <w:rPr/>
            </w:pPr>
            <w:r>
              <w:rPr/>
              <w:t>273</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322" w:type="dxa"/>
            <w:tcBorders/>
            <w:shd w:fill="CCEEFF" w:val="clear"/>
            <w:vAlign w:val="bottom"/>
          </w:tcPr>
          <w:p>
            <w:pPr>
              <w:pStyle w:val="TableContents"/>
              <w:bidi w:val="0"/>
              <w:spacing w:before="0" w:after="283"/>
              <w:jc w:val="right"/>
              <w:rPr/>
            </w:pPr>
            <w:r>
              <w:rPr/>
              <w:t>273</w:t>
            </w:r>
          </w:p>
        </w:tc>
        <w:tc>
          <w:tcPr>
            <w:tcW w:w="160" w:type="dxa"/>
            <w:tcBorders/>
            <w:shd w:fill="CCEEFF" w:val="clear"/>
            <w:vAlign w:val="bottom"/>
          </w:tcPr>
          <w:p>
            <w:pPr>
              <w:pStyle w:val="TableContents"/>
              <w:bidi w:val="0"/>
              <w:spacing w:before="0" w:after="283"/>
              <w:jc w:val="left"/>
              <w:rPr/>
            </w:pPr>
            <w:r>
              <w:rPr/>
              <w:t> </w:t>
            </w:r>
          </w:p>
        </w:tc>
      </w:tr>
      <w:tr>
        <w:trPr/>
        <w:tc>
          <w:tcPr>
            <w:tcW w:w="1198" w:type="dxa"/>
            <w:tcBorders/>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1" w:type="dxa"/>
            <w:tcBorders/>
            <w:vAlign w:val="bottom"/>
          </w:tcPr>
          <w:p>
            <w:pPr>
              <w:pStyle w:val="TableContents"/>
              <w:bidi w:val="0"/>
              <w:spacing w:before="0" w:after="283"/>
              <w:jc w:val="center"/>
              <w:rPr/>
            </w:pPr>
            <w:r>
              <w:rPr/>
              <w:t>Lesser of estimated useful lives of</w:t>
              <w:br/>
              <w:t>15 years or remaining lease term</w:t>
            </w:r>
          </w:p>
        </w:tc>
        <w:tc>
          <w:tcPr>
            <w:tcW w:w="60" w:type="dxa"/>
            <w:tcBorders/>
            <w:vAlign w:val="bottom"/>
          </w:tcPr>
          <w:p>
            <w:pPr>
              <w:pStyle w:val="TableContents"/>
              <w:bidi w:val="0"/>
              <w:spacing w:before="0" w:after="283"/>
              <w:jc w:val="left"/>
              <w:rPr/>
            </w:pPr>
            <w:r>
              <w:rPr/>
              <w:t> </w:t>
            </w:r>
            <w:r>
              <w:rPr/>
              <w:br/>
              <w:t> </w:t>
            </w:r>
          </w:p>
        </w:tc>
        <w:tc>
          <w:tcPr>
            <w:tcW w:w="64"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04" w:type="dxa"/>
            <w:tcBorders/>
            <w:vAlign w:val="bottom"/>
          </w:tcPr>
          <w:p>
            <w:pPr>
              <w:pStyle w:val="TableContents"/>
              <w:bidi w:val="0"/>
              <w:spacing w:before="0" w:after="283"/>
              <w:jc w:val="right"/>
              <w:rPr/>
            </w:pPr>
            <w:r>
              <w:rPr/>
              <w:t>136</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322" w:type="dxa"/>
            <w:tcBorders/>
            <w:vAlign w:val="bottom"/>
          </w:tcPr>
          <w:p>
            <w:pPr>
              <w:pStyle w:val="TableContents"/>
              <w:bidi w:val="0"/>
              <w:spacing w:before="0" w:after="283"/>
              <w:jc w:val="right"/>
              <w:rPr/>
            </w:pPr>
            <w:r>
              <w:rPr/>
              <w:t>136</w:t>
            </w:r>
          </w:p>
        </w:tc>
        <w:tc>
          <w:tcPr>
            <w:tcW w:w="160" w:type="dxa"/>
            <w:tcBorders/>
            <w:vAlign w:val="bottom"/>
          </w:tcPr>
          <w:p>
            <w:pPr>
              <w:pStyle w:val="TableContents"/>
              <w:bidi w:val="0"/>
              <w:spacing w:before="0" w:after="283"/>
              <w:jc w:val="left"/>
              <w:rPr/>
            </w:pPr>
            <w:r>
              <w:rPr/>
              <w:t> </w:t>
            </w:r>
          </w:p>
        </w:tc>
      </w:tr>
      <w:tr>
        <w:trPr/>
        <w:tc>
          <w:tcPr>
            <w:tcW w:w="11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2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604" w:type="dxa"/>
            <w:tcBorders/>
            <w:shd w:fill="CCEEFF" w:val="clear"/>
            <w:vAlign w:val="bottom"/>
          </w:tcPr>
          <w:p>
            <w:pPr>
              <w:pStyle w:val="TableContents"/>
              <w:bidi w:val="0"/>
              <w:spacing w:before="0" w:after="283"/>
              <w:jc w:val="right"/>
              <w:rPr/>
            </w:pPr>
            <w:r>
              <w:rPr/>
              <w:t>28</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322"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119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2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353" w:type="dxa"/>
            <w:tcBorders/>
            <w:vAlign w:val="bottom"/>
          </w:tcPr>
          <w:p>
            <w:pPr>
              <w:pStyle w:val="TableContents"/>
              <w:pBdr>
                <w:top w:val="single" w:sz="2" w:space="1" w:color="000000"/>
              </w:pBdr>
              <w:bidi w:val="0"/>
              <w:spacing w:before="0" w:after="0"/>
              <w:jc w:val="left"/>
              <w:rPr/>
            </w:pPr>
            <w:r>
              <w:rPr/>
              <w:t> </w:t>
            </w:r>
          </w:p>
        </w:tc>
        <w:tc>
          <w:tcPr>
            <w:tcW w:w="16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289" w:type="dxa"/>
            <w:tcBorders/>
            <w:vAlign w:val="bottom"/>
          </w:tcPr>
          <w:p>
            <w:pPr>
              <w:pStyle w:val="TableContents"/>
              <w:pBdr>
                <w:top w:val="single" w:sz="2" w:space="1" w:color="000000"/>
              </w:pBdr>
              <w:bidi w:val="0"/>
              <w:spacing w:before="0" w:after="0"/>
              <w:jc w:val="left"/>
              <w:rPr/>
            </w:pPr>
            <w:r>
              <w:rPr/>
              <w:t> </w:t>
            </w:r>
          </w:p>
        </w:tc>
        <w:tc>
          <w:tcPr>
            <w:tcW w:w="13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119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2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04" w:type="dxa"/>
            <w:tcBorders/>
            <w:vAlign w:val="bottom"/>
          </w:tcPr>
          <w:p>
            <w:pPr>
              <w:pStyle w:val="TableContents"/>
              <w:bidi w:val="0"/>
              <w:spacing w:before="0" w:after="283"/>
              <w:jc w:val="right"/>
              <w:rPr/>
            </w:pPr>
            <w:r>
              <w:rPr/>
              <w:t>4,589</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322" w:type="dxa"/>
            <w:tcBorders/>
            <w:vAlign w:val="bottom"/>
          </w:tcPr>
          <w:p>
            <w:pPr>
              <w:pStyle w:val="TableContents"/>
              <w:bidi w:val="0"/>
              <w:spacing w:before="0" w:after="283"/>
              <w:jc w:val="right"/>
              <w:rPr/>
            </w:pPr>
            <w:r>
              <w:rPr/>
              <w:t>4,849</w:t>
            </w:r>
          </w:p>
        </w:tc>
        <w:tc>
          <w:tcPr>
            <w:tcW w:w="160" w:type="dxa"/>
            <w:tcBorders/>
            <w:vAlign w:val="bottom"/>
          </w:tcPr>
          <w:p>
            <w:pPr>
              <w:pStyle w:val="TableContents"/>
              <w:bidi w:val="0"/>
              <w:spacing w:before="0" w:after="283"/>
              <w:jc w:val="left"/>
              <w:rPr/>
            </w:pPr>
            <w:r>
              <w:rPr/>
              <w:t> </w:t>
            </w:r>
          </w:p>
        </w:tc>
      </w:tr>
      <w:tr>
        <w:trPr/>
        <w:tc>
          <w:tcPr>
            <w:tcW w:w="11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2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604" w:type="dxa"/>
            <w:tcBorders/>
            <w:shd w:fill="CCEEFF" w:val="clear"/>
            <w:vAlign w:val="bottom"/>
          </w:tcPr>
          <w:p>
            <w:pPr>
              <w:pStyle w:val="TableContents"/>
              <w:bidi w:val="0"/>
              <w:spacing w:before="0" w:after="283"/>
              <w:jc w:val="right"/>
              <w:rPr/>
            </w:pPr>
            <w:r>
              <w:rPr/>
              <w:t>(1,097</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322" w:type="dxa"/>
            <w:tcBorders/>
            <w:shd w:fill="CCEEFF" w:val="clear"/>
            <w:vAlign w:val="bottom"/>
          </w:tcPr>
          <w:p>
            <w:pPr>
              <w:pStyle w:val="TableContents"/>
              <w:bidi w:val="0"/>
              <w:spacing w:before="0" w:after="283"/>
              <w:jc w:val="right"/>
              <w:rPr/>
            </w:pPr>
            <w:r>
              <w:rPr/>
              <w:t>(1,339</w:t>
            </w:r>
          </w:p>
        </w:tc>
        <w:tc>
          <w:tcPr>
            <w:tcW w:w="160" w:type="dxa"/>
            <w:tcBorders/>
            <w:shd w:fill="CCEEFF" w:val="clear"/>
            <w:vAlign w:val="bottom"/>
          </w:tcPr>
          <w:p>
            <w:pPr>
              <w:pStyle w:val="TableContents"/>
              <w:bidi w:val="0"/>
              <w:spacing w:before="0" w:after="283"/>
              <w:jc w:val="left"/>
              <w:rPr/>
            </w:pPr>
            <w:r>
              <w:rPr/>
              <w:t>) </w:t>
            </w:r>
          </w:p>
        </w:tc>
      </w:tr>
      <w:tr>
        <w:trPr/>
        <w:tc>
          <w:tcPr>
            <w:tcW w:w="119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2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353" w:type="dxa"/>
            <w:tcBorders/>
            <w:vAlign w:val="bottom"/>
          </w:tcPr>
          <w:p>
            <w:pPr>
              <w:pStyle w:val="TableContents"/>
              <w:pBdr>
                <w:top w:val="single" w:sz="2" w:space="1" w:color="000000"/>
              </w:pBdr>
              <w:bidi w:val="0"/>
              <w:spacing w:before="0" w:after="0"/>
              <w:jc w:val="left"/>
              <w:rPr/>
            </w:pPr>
            <w:r>
              <w:rPr/>
              <w:t> </w:t>
            </w:r>
          </w:p>
        </w:tc>
        <w:tc>
          <w:tcPr>
            <w:tcW w:w="16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289" w:type="dxa"/>
            <w:tcBorders/>
            <w:vAlign w:val="bottom"/>
          </w:tcPr>
          <w:p>
            <w:pPr>
              <w:pStyle w:val="TableContents"/>
              <w:pBdr>
                <w:top w:val="single" w:sz="2" w:space="1" w:color="000000"/>
              </w:pBdr>
              <w:bidi w:val="0"/>
              <w:spacing w:before="0" w:after="0"/>
              <w:jc w:val="left"/>
              <w:rPr/>
            </w:pPr>
            <w:r>
              <w:rPr/>
              <w:t> </w:t>
            </w:r>
          </w:p>
        </w:tc>
        <w:tc>
          <w:tcPr>
            <w:tcW w:w="13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1198"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2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w:t>
            </w:r>
          </w:p>
        </w:tc>
        <w:tc>
          <w:tcPr>
            <w:tcW w:w="1604" w:type="dxa"/>
            <w:tcBorders/>
            <w:vAlign w:val="bottom"/>
          </w:tcPr>
          <w:p>
            <w:pPr>
              <w:pStyle w:val="TableContents"/>
              <w:bidi w:val="0"/>
              <w:spacing w:before="0" w:after="283"/>
              <w:jc w:val="right"/>
              <w:rPr/>
            </w:pPr>
            <w:r>
              <w:rPr/>
              <w:t>3,492</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w:t>
            </w:r>
          </w:p>
        </w:tc>
        <w:tc>
          <w:tcPr>
            <w:tcW w:w="1322" w:type="dxa"/>
            <w:tcBorders/>
            <w:vAlign w:val="bottom"/>
          </w:tcPr>
          <w:p>
            <w:pPr>
              <w:pStyle w:val="TableContents"/>
              <w:bidi w:val="0"/>
              <w:spacing w:before="0" w:after="283"/>
              <w:jc w:val="right"/>
              <w:rPr/>
            </w:pPr>
            <w:r>
              <w:rPr/>
              <w:t>3,510</w:t>
            </w:r>
          </w:p>
        </w:tc>
        <w:tc>
          <w:tcPr>
            <w:tcW w:w="160" w:type="dxa"/>
            <w:tcBorders/>
            <w:vAlign w:val="bottom"/>
          </w:tcPr>
          <w:p>
            <w:pPr>
              <w:pStyle w:val="TableContents"/>
              <w:bidi w:val="0"/>
              <w:spacing w:before="0" w:after="283"/>
              <w:jc w:val="left"/>
              <w:rPr/>
            </w:pPr>
            <w:r>
              <w:rPr/>
              <w:t> </w:t>
            </w:r>
          </w:p>
        </w:tc>
      </w:tr>
      <w:tr>
        <w:trPr/>
        <w:tc>
          <w:tcPr>
            <w:tcW w:w="119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2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353" w:type="dxa"/>
            <w:tcBorders/>
            <w:vAlign w:val="bottom"/>
          </w:tcPr>
          <w:p>
            <w:pPr>
              <w:pStyle w:val="TableContents"/>
              <w:pBdr>
                <w:top w:val="double" w:sz="6" w:space="1" w:color="000000"/>
              </w:pBdr>
              <w:bidi w:val="0"/>
              <w:spacing w:before="0" w:after="0"/>
              <w:jc w:val="left"/>
              <w:rPr/>
            </w:pPr>
            <w:r>
              <w:rPr/>
              <w:t> </w:t>
            </w:r>
          </w:p>
        </w:tc>
        <w:tc>
          <w:tcPr>
            <w:tcW w:w="16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289" w:type="dxa"/>
            <w:tcBorders/>
            <w:vAlign w:val="bottom"/>
          </w:tcPr>
          <w:p>
            <w:pPr>
              <w:pStyle w:val="TableContents"/>
              <w:pBdr>
                <w:top w:val="double" w:sz="6" w:space="1" w:color="000000"/>
              </w:pBdr>
              <w:bidi w:val="0"/>
              <w:spacing w:before="0" w:after="0"/>
              <w:jc w:val="left"/>
              <w:rPr/>
            </w:pPr>
            <w:r>
              <w:rPr/>
              <w:t> </w:t>
            </w:r>
          </w:p>
        </w:tc>
        <w:tc>
          <w:tcPr>
            <w:tcW w:w="132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120" w:after="0"/>
        <w:jc w:val="both"/>
        <w:rPr>
          <w:rFonts w:ascii="Times New Roman" w:hAnsi="Times New Roman"/>
          <w:sz w:val="20"/>
        </w:rPr>
      </w:pPr>
      <w:r>
        <w:rPr>
          <w:rFonts w:ascii="Times New Roman" w:hAnsi="Times New Roman"/>
          <w:sz w:val="20"/>
        </w:rPr>
        <w:t xml:space="preserve">Depreciation and amortization expense for the three months ended March 31, 2025 and 2026 was $0.1 million and $0.2 million,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Accrued Expenses and Other Current Liabilities </w:t>
      </w:r>
    </w:p>
    <w:p>
      <w:pPr>
        <w:pStyle w:val="TextBody"/>
        <w:bidi w:val="0"/>
        <w:spacing w:before="120" w:after="0"/>
        <w:jc w:val="both"/>
        <w:rPr>
          <w:rFonts w:ascii="Times New Roman" w:hAnsi="Times New Roman"/>
          <w:sz w:val="20"/>
        </w:rPr>
      </w:pPr>
      <w:r>
        <w:rPr>
          <w:rFonts w:ascii="Times New Roman" w:hAnsi="Times New Roman"/>
          <w:sz w:val="20"/>
        </w:rPr>
        <w:t xml:space="preserve">Accrued expenses and other current liabilities consisted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97"/>
        <w:gridCol w:w="502"/>
        <w:gridCol w:w="283"/>
        <w:gridCol w:w="1178"/>
        <w:gridCol w:w="60"/>
        <w:gridCol w:w="502"/>
        <w:gridCol w:w="214"/>
        <w:gridCol w:w="856"/>
        <w:gridCol w:w="63"/>
      </w:tblGrid>
      <w:tr>
        <w:trPr/>
        <w:tc>
          <w:tcPr>
            <w:tcW w:w="4097" w:type="dxa"/>
            <w:tcBorders/>
            <w:vAlign w:val="center"/>
          </w:tcPr>
          <w:p>
            <w:pPr>
              <w:pStyle w:val="TableContents"/>
              <w:bidi w:val="0"/>
              <w:spacing w:before="0" w:after="283"/>
              <w:jc w:val="left"/>
              <w:rPr>
                <w:sz w:val="4"/>
                <w:szCs w:val="4"/>
              </w:rPr>
            </w:pPr>
            <w:r>
              <w:rPr>
                <w:sz w:val="4"/>
                <w:szCs w:val="4"/>
              </w:rPr>
            </w:r>
          </w:p>
        </w:tc>
        <w:tc>
          <w:tcPr>
            <w:tcW w:w="502"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2"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097"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4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63" w:type="dxa"/>
            <w:tcBorders/>
            <w:vAlign w:val="bottom"/>
          </w:tcPr>
          <w:p>
            <w:pPr>
              <w:pStyle w:val="TableContents"/>
              <w:bidi w:val="0"/>
              <w:spacing w:before="0" w:after="283"/>
              <w:jc w:val="left"/>
              <w:rPr/>
            </w:pPr>
            <w:r>
              <w:rPr/>
              <w:t> </w:t>
            </w:r>
          </w:p>
        </w:tc>
      </w:tr>
      <w:tr>
        <w:trPr/>
        <w:tc>
          <w:tcPr>
            <w:tcW w:w="4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compensation</w:t>
            </w:r>
          </w:p>
        </w:tc>
        <w:tc>
          <w:tcPr>
            <w:tcW w:w="502"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78" w:type="dxa"/>
            <w:tcBorders/>
            <w:shd w:fill="CCEEFF" w:val="clear"/>
            <w:vAlign w:val="bottom"/>
          </w:tcPr>
          <w:p>
            <w:pPr>
              <w:pStyle w:val="TableContents"/>
              <w:bidi w:val="0"/>
              <w:spacing w:before="0" w:after="283"/>
              <w:jc w:val="right"/>
              <w:rPr/>
            </w:pPr>
            <w:r>
              <w:rPr/>
              <w:t>3,103</w:t>
            </w:r>
          </w:p>
        </w:tc>
        <w:tc>
          <w:tcPr>
            <w:tcW w:w="6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1,292</w:t>
            </w:r>
          </w:p>
        </w:tc>
        <w:tc>
          <w:tcPr>
            <w:tcW w:w="63" w:type="dxa"/>
            <w:tcBorders/>
            <w:shd w:fill="CCEEFF" w:val="clear"/>
            <w:vAlign w:val="bottom"/>
          </w:tcPr>
          <w:p>
            <w:pPr>
              <w:pStyle w:val="TableContents"/>
              <w:bidi w:val="0"/>
              <w:spacing w:before="0" w:after="283"/>
              <w:jc w:val="left"/>
              <w:rPr/>
            </w:pPr>
            <w:r>
              <w:rPr/>
              <w:t> </w:t>
            </w:r>
          </w:p>
        </w:tc>
      </w:tr>
      <w:tr>
        <w:trPr/>
        <w:tc>
          <w:tcPr>
            <w:tcW w:w="4097" w:type="dxa"/>
            <w:tcBorders/>
          </w:tcPr>
          <w:p>
            <w:pPr>
              <w:pStyle w:val="TableContents"/>
              <w:bidi w:val="0"/>
              <w:spacing w:before="0" w:after="0"/>
              <w:jc w:val="left"/>
              <w:rPr>
                <w:rFonts w:ascii="Times New Roman" w:hAnsi="Times New Roman"/>
                <w:sz w:val="20"/>
              </w:rPr>
            </w:pPr>
            <w:r>
              <w:rPr>
                <w:rFonts w:ascii="Times New Roman" w:hAnsi="Times New Roman"/>
                <w:sz w:val="20"/>
              </w:rPr>
              <w:t>Accrued research and development expenses</w:t>
            </w:r>
          </w:p>
        </w:tc>
        <w:tc>
          <w:tcPr>
            <w:tcW w:w="502"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1,069</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2,710</w:t>
            </w:r>
          </w:p>
        </w:tc>
        <w:tc>
          <w:tcPr>
            <w:tcW w:w="63" w:type="dxa"/>
            <w:tcBorders/>
            <w:vAlign w:val="bottom"/>
          </w:tcPr>
          <w:p>
            <w:pPr>
              <w:pStyle w:val="TableContents"/>
              <w:bidi w:val="0"/>
              <w:spacing w:before="0" w:after="283"/>
              <w:jc w:val="left"/>
              <w:rPr/>
            </w:pPr>
            <w:r>
              <w:rPr/>
              <w:t> </w:t>
            </w:r>
          </w:p>
        </w:tc>
      </w:tr>
      <w:tr>
        <w:trPr/>
        <w:tc>
          <w:tcPr>
            <w:tcW w:w="4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professional fees</w:t>
            </w:r>
          </w:p>
        </w:tc>
        <w:tc>
          <w:tcPr>
            <w:tcW w:w="502"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556</w:t>
            </w:r>
          </w:p>
        </w:tc>
        <w:tc>
          <w:tcPr>
            <w:tcW w:w="6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502</w:t>
            </w:r>
          </w:p>
        </w:tc>
        <w:tc>
          <w:tcPr>
            <w:tcW w:w="63" w:type="dxa"/>
            <w:tcBorders/>
            <w:shd w:fill="CCEEFF" w:val="clear"/>
            <w:vAlign w:val="bottom"/>
          </w:tcPr>
          <w:p>
            <w:pPr>
              <w:pStyle w:val="TableContents"/>
              <w:bidi w:val="0"/>
              <w:spacing w:before="0" w:after="283"/>
              <w:jc w:val="left"/>
              <w:rPr/>
            </w:pPr>
            <w:r>
              <w:rPr/>
              <w:t> </w:t>
            </w:r>
          </w:p>
        </w:tc>
      </w:tr>
      <w:tr>
        <w:trPr/>
        <w:tc>
          <w:tcPr>
            <w:tcW w:w="4097"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liability</w:t>
            </w:r>
          </w:p>
        </w:tc>
        <w:tc>
          <w:tcPr>
            <w:tcW w:w="502"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450</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450</w:t>
            </w:r>
          </w:p>
        </w:tc>
        <w:tc>
          <w:tcPr>
            <w:tcW w:w="63" w:type="dxa"/>
            <w:tcBorders/>
            <w:vAlign w:val="bottom"/>
          </w:tcPr>
          <w:p>
            <w:pPr>
              <w:pStyle w:val="TableContents"/>
              <w:bidi w:val="0"/>
              <w:spacing w:before="0" w:after="283"/>
              <w:jc w:val="left"/>
              <w:rPr/>
            </w:pPr>
            <w:r>
              <w:rPr/>
              <w:t> </w:t>
            </w:r>
          </w:p>
        </w:tc>
      </w:tr>
      <w:tr>
        <w:trPr/>
        <w:tc>
          <w:tcPr>
            <w:tcW w:w="4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accrued expenses and current liabilities</w:t>
            </w:r>
          </w:p>
        </w:tc>
        <w:tc>
          <w:tcPr>
            <w:tcW w:w="502"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357</w:t>
            </w:r>
          </w:p>
        </w:tc>
        <w:tc>
          <w:tcPr>
            <w:tcW w:w="6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306</w:t>
            </w:r>
          </w:p>
        </w:tc>
        <w:tc>
          <w:tcPr>
            <w:tcW w:w="63" w:type="dxa"/>
            <w:tcBorders/>
            <w:shd w:fill="CCEEFF" w:val="clear"/>
            <w:vAlign w:val="bottom"/>
          </w:tcPr>
          <w:p>
            <w:pPr>
              <w:pStyle w:val="TableContents"/>
              <w:bidi w:val="0"/>
              <w:spacing w:before="0" w:after="283"/>
              <w:jc w:val="left"/>
              <w:rPr/>
            </w:pPr>
            <w:r>
              <w:rPr/>
              <w:t> </w:t>
            </w:r>
          </w:p>
        </w:tc>
      </w:tr>
      <w:tr>
        <w:trPr/>
        <w:tc>
          <w:tcPr>
            <w:tcW w:w="4097" w:type="dxa"/>
            <w:tcBorders/>
            <w:vAlign w:val="bottom"/>
          </w:tcPr>
          <w:p>
            <w:pPr>
              <w:pStyle w:val="TableContents"/>
              <w:bidi w:val="0"/>
              <w:spacing w:before="0" w:after="283"/>
              <w:jc w:val="left"/>
              <w:rPr>
                <w:sz w:val="4"/>
                <w:szCs w:val="4"/>
              </w:rPr>
            </w:pPr>
            <w:r>
              <w:rPr>
                <w:sz w:val="4"/>
                <w:szCs w:val="4"/>
              </w:rPr>
            </w:r>
          </w:p>
        </w:tc>
        <w:tc>
          <w:tcPr>
            <w:tcW w:w="502"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097" w:type="dxa"/>
            <w:tcBorders/>
          </w:tcPr>
          <w:p>
            <w:pPr>
              <w:pStyle w:val="TableContents"/>
              <w:bidi w:val="0"/>
              <w:spacing w:before="0" w:after="0"/>
              <w:jc w:val="left"/>
              <w:rPr>
                <w:rFonts w:ascii="Times New Roman" w:hAnsi="Times New Roman"/>
                <w:sz w:val="20"/>
              </w:rPr>
            </w:pPr>
            <w:r>
              <w:rPr>
                <w:rFonts w:ascii="Times New Roman" w:hAnsi="Times New Roman"/>
                <w:sz w:val="20"/>
              </w:rPr>
              <w:t>Total accrued expenses and other current liabilities</w:t>
            </w:r>
          </w:p>
        </w:tc>
        <w:tc>
          <w:tcPr>
            <w:tcW w:w="502"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78" w:type="dxa"/>
            <w:tcBorders/>
            <w:vAlign w:val="bottom"/>
          </w:tcPr>
          <w:p>
            <w:pPr>
              <w:pStyle w:val="TableContents"/>
              <w:bidi w:val="0"/>
              <w:spacing w:before="0" w:after="283"/>
              <w:jc w:val="right"/>
              <w:rPr/>
            </w:pPr>
            <w:r>
              <w:rPr/>
              <w:t>5,535</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6" w:type="dxa"/>
            <w:tcBorders/>
            <w:vAlign w:val="bottom"/>
          </w:tcPr>
          <w:p>
            <w:pPr>
              <w:pStyle w:val="TableContents"/>
              <w:bidi w:val="0"/>
              <w:spacing w:before="0" w:after="283"/>
              <w:jc w:val="right"/>
              <w:rPr/>
            </w:pPr>
            <w:r>
              <w:rPr/>
              <w:t>5,260</w:t>
            </w:r>
          </w:p>
        </w:tc>
        <w:tc>
          <w:tcPr>
            <w:tcW w:w="63" w:type="dxa"/>
            <w:tcBorders/>
            <w:vAlign w:val="bottom"/>
          </w:tcPr>
          <w:p>
            <w:pPr>
              <w:pStyle w:val="TableContents"/>
              <w:bidi w:val="0"/>
              <w:spacing w:before="0" w:after="283"/>
              <w:jc w:val="left"/>
              <w:rPr/>
            </w:pPr>
            <w:r>
              <w:rPr/>
              <w:t> </w:t>
            </w:r>
          </w:p>
        </w:tc>
      </w:tr>
      <w:tr>
        <w:trPr/>
        <w:tc>
          <w:tcPr>
            <w:tcW w:w="4097" w:type="dxa"/>
            <w:tcBorders/>
            <w:vAlign w:val="bottom"/>
          </w:tcPr>
          <w:p>
            <w:pPr>
              <w:pStyle w:val="TableContents"/>
              <w:bidi w:val="0"/>
              <w:spacing w:before="0" w:after="283"/>
              <w:jc w:val="left"/>
              <w:rPr>
                <w:sz w:val="4"/>
                <w:szCs w:val="4"/>
              </w:rPr>
            </w:pPr>
            <w:r>
              <w:rPr>
                <w:sz w:val="4"/>
                <w:szCs w:val="4"/>
              </w:rPr>
            </w:r>
          </w:p>
        </w:tc>
        <w:tc>
          <w:tcPr>
            <w:tcW w:w="502"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7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5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License Agreements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Alamar License Agreement </w:t>
      </w:r>
    </w:p>
    <w:p>
      <w:pPr>
        <w:pStyle w:val="TextBody"/>
        <w:bidi w:val="0"/>
        <w:spacing w:before="120" w:after="0"/>
        <w:jc w:val="both"/>
        <w:rPr>
          <w:rFonts w:ascii="Times New Roman" w:hAnsi="Times New Roman"/>
          <w:sz w:val="20"/>
        </w:rPr>
      </w:pPr>
      <w:r>
        <w:rPr>
          <w:rFonts w:ascii="Times New Roman" w:hAnsi="Times New Roman"/>
          <w:sz w:val="20"/>
        </w:rPr>
        <w:t xml:space="preserve">On June 1, 2023, the Company and Alamar Biosciences, Inc. (“Alamar”) entered into a Platform License Development Agreement (the “Alamar Platform License Agreement”). Under the Alamar Platform License Agreement, Alamar granted the Company an exclusive, sublicensable license to use the antibody engineering platform (the “ATTOBODY Platform”) within certain specified therapeutic fields. </w:t>
      </w:r>
    </w:p>
    <w:p>
      <w:pPr>
        <w:pStyle w:val="TextBody"/>
        <w:bidi w:val="0"/>
        <w:spacing w:before="120" w:after="0"/>
        <w:jc w:val="both"/>
        <w:rPr>
          <w:rFonts w:ascii="Times New Roman" w:hAnsi="Times New Roman"/>
          <w:sz w:val="20"/>
        </w:rPr>
      </w:pPr>
      <w:r>
        <w:rPr>
          <w:rFonts w:ascii="Times New Roman" w:hAnsi="Times New Roman"/>
          <w:sz w:val="20"/>
        </w:rPr>
        <w:t xml:space="preserve">In connection with the Alamar Platform License Agreement, the Company issued 2,428,646 shares of its common stock to Alamar as consideration for the license. Alamar is further entitled to certain development and regulatory milestone payments for an aggregate of up to $0.8 million and $3.5 million respectively, on a product-by-product basis as well as royalties on net sales of the covered products ranging in the low-single digit percentage rates. Milestone payments are contingent consideration and are accrued when it becomes probable that the underlying milestone will be achieved. The Company recorded $0.3 million as research and development expenses on the consolidated statements of operations and comprehensive loss during the year ended December 31, 2024, related to achievement of a development milestone for ATTO-1310. The Company recorded $0.3 million as research and development expenses on the consolidated statements of operations and comprehensive loss during the year ended December 31, 2025, related to achievement of a development milestone for ATTO-3712. The remaining milestones were not probable to be achieved as of March 31, 2026. Royalties will be recognized as cost of sales when the covered products are sold and royalties are payable.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EndPath License Agreement and Equity Distribution </w:t>
      </w:r>
    </w:p>
    <w:p>
      <w:pPr>
        <w:pStyle w:val="TextBody"/>
        <w:bidi w:val="0"/>
        <w:spacing w:before="120" w:after="0"/>
        <w:jc w:val="both"/>
        <w:rPr>
          <w:rFonts w:ascii="Times New Roman" w:hAnsi="Times New Roman"/>
          <w:sz w:val="20"/>
        </w:rPr>
      </w:pPr>
      <w:r>
        <w:rPr>
          <w:rFonts w:ascii="Times New Roman" w:hAnsi="Times New Roman"/>
          <w:sz w:val="20"/>
        </w:rPr>
        <w:t xml:space="preserve">In July 2025, the Company entered into a license agreement with EndPath RadioTherapeutics, Inc. (formerly Isotovia Biosciences, Inc.) (“EndPath”) pursuant to which the Company granted EndPath an exclusive, worldwide license to certain of the Company’s ATTOBODY platform technology for use in the development and commercialization of radioligand products (the “EndPath Agreement”). Under the EndPath Agreement, the Company is responsible for using its ATTOBODY platform technology to generate and develop initial Attobodies directed to two initial targets. </w:t>
      </w:r>
    </w:p>
    <w:p>
      <w:pPr>
        <w:pStyle w:val="TextBody"/>
        <w:bidi w:val="0"/>
        <w:spacing w:before="120" w:after="0"/>
        <w:jc w:val="both"/>
        <w:rPr>
          <w:rFonts w:ascii="Times New Roman" w:hAnsi="Times New Roman"/>
          <w:sz w:val="20"/>
        </w:rPr>
      </w:pPr>
      <w:r>
        <w:rPr>
          <w:rFonts w:ascii="Times New Roman" w:hAnsi="Times New Roman"/>
          <w:sz w:val="20"/>
        </w:rPr>
        <w:t xml:space="preserve">As consideration for the license and related research and development obligations, the Company received 24,000,000 shares of EndPath common stock, of which 6,000,000 shares are subject to repurchase if specified conditions are not met, including the first accepted investigational new drug filing for a lead product, or certain termination events. The Company is also eligible to receive additional consideration under the EndPath Agreement of up to $14.5 million in development and regulatory milestone payments, up to $170.0 million in sales milestone payments, and low single-digit royalties on worldwide annual net sales of licensed products. </w:t>
      </w:r>
    </w:p>
    <w:p>
      <w:pPr>
        <w:pStyle w:val="TextBody"/>
        <w:bidi w:val="0"/>
        <w:spacing w:before="120" w:after="0"/>
        <w:jc w:val="both"/>
        <w:rPr>
          <w:rFonts w:ascii="Times New Roman" w:hAnsi="Times New Roman"/>
          <w:sz w:val="20"/>
        </w:rPr>
      </w:pPr>
      <w:r>
        <w:rPr>
          <w:rFonts w:ascii="Times New Roman" w:hAnsi="Times New Roman"/>
          <w:sz w:val="20"/>
        </w:rPr>
        <w:t xml:space="preserve">The EndPath arrangement represents a contract with a customer within the scope of ASC 606, </w:t>
      </w:r>
      <w:r>
        <w:rPr>
          <w:rFonts w:ascii="Times New Roman" w:hAnsi="Times New Roman"/>
          <w:i/>
          <w:sz w:val="20"/>
        </w:rPr>
        <w:t>Revenue from Contracts with Customers</w:t>
      </w:r>
      <w:r>
        <w:rPr>
          <w:rFonts w:ascii="Times New Roman" w:hAnsi="Times New Roman"/>
          <w:sz w:val="20"/>
        </w:rPr>
        <w:t xml:space="preserve">. The Company identified separate performance obligations for each of the two initial target programs, each consisting of the applicable license rights and related research and development services, together with related supporting activities. </w:t>
      </w:r>
    </w:p>
    <w:p>
      <w:pPr>
        <w:pStyle w:val="TextBody"/>
        <w:bidi w:val="0"/>
        <w:spacing w:before="120" w:after="0"/>
        <w:jc w:val="both"/>
        <w:rPr>
          <w:rFonts w:ascii="Times New Roman" w:hAnsi="Times New Roman"/>
          <w:sz w:val="20"/>
        </w:rPr>
      </w:pPr>
      <w:r>
        <w:rPr>
          <w:rFonts w:ascii="Times New Roman" w:hAnsi="Times New Roman"/>
          <w:sz w:val="20"/>
        </w:rPr>
        <w:t xml:space="preserve">As of December 31, 2025 and March 31, 2026, the Company recorded the fair value of 6,000,000 shares subject to repurchase as an asset with a corresponding customer deposit liability of $0.6 million, which was included in other non-current liabilities on the Company’s condensed consolidated balance sheets. The customer deposit liability remains outstanding until the repurchase option lapses, is exercised or is otherwise resolved.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As of December 31, 2025 and March 31, 2026, the contract liability related to the EndPath Agreement was $0.4 million, which was included in accrued expenses and other current liabilities on the Company’s condensed consolidated balance sheets. </w:t>
      </w:r>
    </w:p>
    <w:p>
      <w:pPr>
        <w:pStyle w:val="TextBody"/>
        <w:bidi w:val="0"/>
        <w:spacing w:before="120" w:after="0"/>
        <w:jc w:val="both"/>
        <w:rPr>
          <w:rFonts w:ascii="Times New Roman" w:hAnsi="Times New Roman"/>
          <w:sz w:val="20"/>
        </w:rPr>
      </w:pPr>
      <w:r>
        <w:rPr>
          <w:rFonts w:ascii="Times New Roman" w:hAnsi="Times New Roman"/>
          <w:sz w:val="20"/>
        </w:rPr>
        <w:t xml:space="preserve">The EndPath common stock was recorded upon receipt at fair value as an equity investment. In September 2025, the Company distributed the EndPath common stock received as noncash consideration under the EndPath Agreement, with an aggregate carrying value of $2.4 million, to holders of the Company’s outstanding capital stock. Following the distribution, the Company no longer held any EndPath common stock. The distribution was accounted for as an in-kind dividend and reduced the Company’s equity investment in EndPath to zero. There was no gain or loss recognized as a result of the distribution. </w:t>
      </w:r>
    </w:p>
    <w:p>
      <w:pPr>
        <w:pStyle w:val="TextBody"/>
        <w:bidi w:val="0"/>
        <w:spacing w:before="120" w:after="0"/>
        <w:jc w:val="both"/>
        <w:rPr>
          <w:rFonts w:ascii="Times New Roman" w:hAnsi="Times New Roman"/>
          <w:sz w:val="20"/>
        </w:rPr>
      </w:pPr>
      <w:r>
        <w:rPr>
          <w:rFonts w:ascii="Times New Roman" w:hAnsi="Times New Roman"/>
          <w:sz w:val="20"/>
        </w:rPr>
        <w:t xml:space="preserve">On March 18, 2026, the Company entered into an amendment with EndPath related to the targets being developed. The amendment had no material impact on the condensed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6.</w:t>
            </w:r>
          </w:p>
        </w:tc>
        <w:tc>
          <w:tcPr>
            <w:tcW w:w="9799"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both"/>
        <w:rPr>
          <w:rFonts w:ascii="Times New Roman" w:hAnsi="Times New Roman"/>
          <w:sz w:val="20"/>
        </w:rPr>
      </w:pPr>
      <w:r>
        <w:rPr>
          <w:rFonts w:ascii="Times New Roman" w:hAnsi="Times New Roman"/>
          <w:sz w:val="20"/>
        </w:rPr>
        <w:t xml:space="preserve">The Company leases its office, laboratory and storage spaces in San Carlos, California under a non-cancelable operating lease with a lease term of 40 months. </w:t>
      </w:r>
    </w:p>
    <w:p>
      <w:pPr>
        <w:pStyle w:val="TextBody"/>
        <w:bidi w:val="0"/>
        <w:spacing w:before="120" w:after="0"/>
        <w:jc w:val="both"/>
        <w:rPr>
          <w:rFonts w:ascii="Times New Roman" w:hAnsi="Times New Roman"/>
          <w:sz w:val="20"/>
        </w:rPr>
      </w:pPr>
      <w:r>
        <w:rPr>
          <w:rFonts w:ascii="Times New Roman" w:hAnsi="Times New Roman"/>
          <w:sz w:val="20"/>
        </w:rPr>
        <w:t xml:space="preserve">As of March 31, 2026, the future minimum lease commitments under the operating lease were as follows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83"/>
        <w:gridCol w:w="368"/>
        <w:gridCol w:w="145"/>
        <w:gridCol w:w="583"/>
        <w:gridCol w:w="160"/>
      </w:tblGrid>
      <w:tr>
        <w:trPr/>
        <w:tc>
          <w:tcPr>
            <w:tcW w:w="5683"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83" w:type="dxa"/>
            <w:tcBorders/>
            <w:vAlign w:val="bottom"/>
          </w:tcPr>
          <w:p>
            <w:pPr>
              <w:pStyle w:val="TableContents"/>
              <w:pBdr>
                <w:bottom w:val="single" w:sz="8" w:space="1" w:color="000000"/>
              </w:pBdr>
              <w:bidi w:val="0"/>
              <w:spacing w:before="0" w:after="0"/>
              <w:jc w:val="left"/>
              <w:rPr>
                <w:rFonts w:ascii="Times New Roman" w:hAnsi="Times New Roman"/>
                <w:b/>
                <w:sz w:val="20"/>
              </w:rPr>
            </w:pPr>
            <w:r>
              <w:rPr>
                <w:rFonts w:ascii="Times New Roman" w:hAnsi="Times New Roman"/>
                <w:b/>
                <w:sz w:val="20"/>
              </w:rPr>
              <w:t>Year Ended December 31,</w:t>
            </w:r>
          </w:p>
        </w:tc>
        <w:tc>
          <w:tcPr>
            <w:tcW w:w="368" w:type="dxa"/>
            <w:tcBorders/>
            <w:vAlign w:val="bottom"/>
          </w:tcPr>
          <w:p>
            <w:pPr>
              <w:pStyle w:val="TableContents"/>
              <w:bidi w:val="0"/>
              <w:spacing w:before="0" w:after="283"/>
              <w:jc w:val="left"/>
              <w:rPr/>
            </w:pPr>
            <w:r>
              <w:rPr/>
              <w:t>  </w:t>
            </w:r>
          </w:p>
        </w:tc>
        <w:tc>
          <w:tcPr>
            <w:tcW w:w="728" w:type="dxa"/>
            <w:gridSpan w:val="2"/>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r>
      <w:tr>
        <w:trPr/>
        <w:tc>
          <w:tcPr>
            <w:tcW w:w="5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 (remainder of the year)</w:t>
            </w:r>
          </w:p>
        </w:tc>
        <w:tc>
          <w:tcPr>
            <w:tcW w:w="36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1,701</w:t>
            </w:r>
          </w:p>
        </w:tc>
        <w:tc>
          <w:tcPr>
            <w:tcW w:w="160" w:type="dxa"/>
            <w:tcBorders/>
            <w:shd w:fill="CCEEFF" w:val="clear"/>
            <w:vAlign w:val="bottom"/>
          </w:tcPr>
          <w:p>
            <w:pPr>
              <w:pStyle w:val="TableContents"/>
              <w:bidi w:val="0"/>
              <w:spacing w:before="0" w:after="283"/>
              <w:jc w:val="left"/>
              <w:rPr/>
            </w:pPr>
            <w:r>
              <w:rPr/>
              <w:t> </w:t>
            </w:r>
          </w:p>
        </w:tc>
      </w:tr>
      <w:tr>
        <w:trPr/>
        <w:tc>
          <w:tcPr>
            <w:tcW w:w="5683"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36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2,333</w:t>
            </w:r>
          </w:p>
        </w:tc>
        <w:tc>
          <w:tcPr>
            <w:tcW w:w="160" w:type="dxa"/>
            <w:tcBorders/>
            <w:vAlign w:val="bottom"/>
          </w:tcPr>
          <w:p>
            <w:pPr>
              <w:pStyle w:val="TableContents"/>
              <w:bidi w:val="0"/>
              <w:spacing w:before="0" w:after="283"/>
              <w:jc w:val="left"/>
              <w:rPr/>
            </w:pPr>
            <w:r>
              <w:rPr/>
              <w:t> </w:t>
            </w:r>
          </w:p>
        </w:tc>
      </w:tr>
      <w:tr>
        <w:trPr/>
        <w:tc>
          <w:tcPr>
            <w:tcW w:w="5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36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1,200</w:t>
            </w:r>
          </w:p>
        </w:tc>
        <w:tc>
          <w:tcPr>
            <w:tcW w:w="160" w:type="dxa"/>
            <w:tcBorders/>
            <w:shd w:fill="CCEEFF" w:val="clear"/>
            <w:vAlign w:val="bottom"/>
          </w:tcPr>
          <w:p>
            <w:pPr>
              <w:pStyle w:val="TableContents"/>
              <w:bidi w:val="0"/>
              <w:spacing w:before="0" w:after="283"/>
              <w:jc w:val="left"/>
              <w:rPr/>
            </w:pPr>
            <w:r>
              <w:rPr/>
              <w:t> </w:t>
            </w:r>
          </w:p>
        </w:tc>
      </w:tr>
      <w:tr>
        <w:trPr/>
        <w:tc>
          <w:tcPr>
            <w:tcW w:w="5683"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8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8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future minimum lease payments</w:t>
            </w:r>
          </w:p>
        </w:tc>
        <w:tc>
          <w:tcPr>
            <w:tcW w:w="36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5,234</w:t>
            </w:r>
          </w:p>
        </w:tc>
        <w:tc>
          <w:tcPr>
            <w:tcW w:w="160" w:type="dxa"/>
            <w:tcBorders/>
            <w:vAlign w:val="bottom"/>
          </w:tcPr>
          <w:p>
            <w:pPr>
              <w:pStyle w:val="TableContents"/>
              <w:bidi w:val="0"/>
              <w:spacing w:before="0" w:after="283"/>
              <w:jc w:val="left"/>
              <w:rPr/>
            </w:pPr>
            <w:r>
              <w:rPr/>
              <w:t> </w:t>
            </w:r>
          </w:p>
        </w:tc>
      </w:tr>
      <w:tr>
        <w:trPr/>
        <w:tc>
          <w:tcPr>
            <w:tcW w:w="5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36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(430</w:t>
            </w:r>
          </w:p>
        </w:tc>
        <w:tc>
          <w:tcPr>
            <w:tcW w:w="160" w:type="dxa"/>
            <w:tcBorders/>
            <w:shd w:fill="CCEEFF" w:val="clear"/>
            <w:vAlign w:val="bottom"/>
          </w:tcPr>
          <w:p>
            <w:pPr>
              <w:pStyle w:val="TableContents"/>
              <w:bidi w:val="0"/>
              <w:spacing w:before="0" w:after="283"/>
              <w:jc w:val="left"/>
              <w:rPr/>
            </w:pPr>
            <w:r>
              <w:rPr/>
              <w:t>) </w:t>
            </w:r>
          </w:p>
        </w:tc>
      </w:tr>
      <w:tr>
        <w:trPr/>
        <w:tc>
          <w:tcPr>
            <w:tcW w:w="5683"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8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83" w:type="dxa"/>
            <w:tcBorders/>
          </w:tcPr>
          <w:p>
            <w:pPr>
              <w:pStyle w:val="TableContents"/>
              <w:bidi w:val="0"/>
              <w:spacing w:before="0" w:after="0"/>
              <w:jc w:val="left"/>
              <w:rPr>
                <w:rFonts w:ascii="Times New Roman" w:hAnsi="Times New Roman"/>
                <w:b/>
                <w:sz w:val="20"/>
              </w:rPr>
            </w:pPr>
            <w:r>
              <w:rPr>
                <w:rFonts w:ascii="Times New Roman" w:hAnsi="Times New Roman"/>
                <w:b/>
                <w:sz w:val="20"/>
              </w:rPr>
              <w:t>Present value of operating lease liabilities</w:t>
            </w:r>
          </w:p>
        </w:tc>
        <w:tc>
          <w:tcPr>
            <w:tcW w:w="36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4,804</w:t>
            </w:r>
          </w:p>
        </w:tc>
        <w:tc>
          <w:tcPr>
            <w:tcW w:w="160" w:type="dxa"/>
            <w:tcBorders/>
            <w:vAlign w:val="bottom"/>
          </w:tcPr>
          <w:p>
            <w:pPr>
              <w:pStyle w:val="TableContents"/>
              <w:bidi w:val="0"/>
              <w:spacing w:before="0" w:after="283"/>
              <w:jc w:val="left"/>
              <w:rPr/>
            </w:pPr>
            <w:r>
              <w:rPr/>
              <w:t> </w:t>
            </w:r>
          </w:p>
        </w:tc>
      </w:tr>
      <w:tr>
        <w:trPr/>
        <w:tc>
          <w:tcPr>
            <w:tcW w:w="5683"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58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Legal Contingencies </w:t>
      </w:r>
    </w:p>
    <w:p>
      <w:pPr>
        <w:pStyle w:val="TextBody"/>
        <w:bidi w:val="0"/>
        <w:spacing w:before="120" w:after="0"/>
        <w:jc w:val="both"/>
        <w:rPr>
          <w:rFonts w:ascii="Times New Roman" w:hAnsi="Times New Roman"/>
          <w:sz w:val="20"/>
        </w:rPr>
      </w:pPr>
      <w:r>
        <w:rPr>
          <w:rFonts w:ascii="Times New Roman" w:hAnsi="Times New Roman"/>
          <w:sz w:val="20"/>
        </w:rPr>
        <w:t xml:space="preserve">From time to time, the Company may become involved in legal proceedings arising from the ordinary course of business. The Company records a liability for such matters when it is probable that future losses will be incurred and that such losses can be reasonably estimated. Significant judgment by the Company is required to determine both probability and the estimated amount. Management is currently not aware of any legal matters that could have a material adverse effect on the Company’s financial position, results of operations or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Agreements </w:t>
      </w:r>
    </w:p>
    <w:p>
      <w:pPr>
        <w:pStyle w:val="TextBody"/>
        <w:bidi w:val="0"/>
        <w:spacing w:before="120" w:after="0"/>
        <w:jc w:val="both"/>
        <w:rPr>
          <w:rFonts w:ascii="Times New Roman" w:hAnsi="Times New Roman"/>
          <w:sz w:val="20"/>
        </w:rPr>
      </w:pPr>
      <w:r>
        <w:rPr>
          <w:rFonts w:ascii="Times New Roman" w:hAnsi="Times New Roman"/>
          <w:sz w:val="20"/>
        </w:rPr>
        <w:t xml:space="preserve">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require the Company, among other things, to indemnify them against certain liabilities that may arise by reason of their status or service as directors or officers to the fullest extent permitted by Delaware corporate law. The Company currently has directors’ and officers’ liability insurance.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7.</w:t>
            </w:r>
          </w:p>
        </w:tc>
        <w:tc>
          <w:tcPr>
            <w:tcW w:w="9799"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Redeemable Convertible Preferred Stock </w:t>
            </w:r>
          </w:p>
        </w:tc>
      </w:tr>
    </w:tbl>
    <w:p>
      <w:pPr>
        <w:pStyle w:val="TextBody"/>
        <w:bidi w:val="0"/>
        <w:spacing w:before="120" w:after="0"/>
        <w:jc w:val="both"/>
        <w:rPr>
          <w:rFonts w:ascii="Times New Roman" w:hAnsi="Times New Roman"/>
          <w:sz w:val="20"/>
        </w:rPr>
      </w:pPr>
      <w:r>
        <w:rPr>
          <w:rFonts w:ascii="Times New Roman" w:hAnsi="Times New Roman"/>
          <w:sz w:val="20"/>
        </w:rPr>
        <w:t xml:space="preserve">As of December 31, 2025 and March 31, 2026, redeemable convertible preferred stock consisted of the following (in thousands, except share and price data):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2087"/>
        <w:gridCol w:w="214"/>
        <w:gridCol w:w="60"/>
        <w:gridCol w:w="1316"/>
        <w:gridCol w:w="60"/>
        <w:gridCol w:w="214"/>
        <w:gridCol w:w="270"/>
        <w:gridCol w:w="918"/>
        <w:gridCol w:w="60"/>
        <w:gridCol w:w="214"/>
        <w:gridCol w:w="60"/>
        <w:gridCol w:w="1353"/>
        <w:gridCol w:w="60"/>
        <w:gridCol w:w="214"/>
        <w:gridCol w:w="143"/>
        <w:gridCol w:w="897"/>
        <w:gridCol w:w="60"/>
        <w:gridCol w:w="213"/>
        <w:gridCol w:w="193"/>
        <w:gridCol w:w="1122"/>
        <w:gridCol w:w="68"/>
      </w:tblGrid>
      <w:tr>
        <w:trPr/>
        <w:tc>
          <w:tcPr>
            <w:tcW w:w="2087"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08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7427"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December 31, 2025 and March 31, 2026</w:t>
            </w:r>
          </w:p>
        </w:tc>
        <w:tc>
          <w:tcPr>
            <w:tcW w:w="68" w:type="dxa"/>
            <w:tcBorders/>
            <w:vAlign w:val="bottom"/>
          </w:tcPr>
          <w:p>
            <w:pPr>
              <w:pStyle w:val="TableContents"/>
              <w:bidi w:val="0"/>
              <w:spacing w:before="0" w:after="283"/>
              <w:jc w:val="left"/>
              <w:rPr/>
            </w:pPr>
            <w:r>
              <w:rPr/>
              <w:t> </w:t>
            </w:r>
          </w:p>
        </w:tc>
      </w:tr>
      <w:tr>
        <w:trPr/>
        <w:tc>
          <w:tcPr>
            <w:tcW w:w="208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3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Authorized</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Original</w:t>
              <w:br/>
              <w:t>Issue Price</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Issued</w:t>
              <w:br/>
              <w:t>and</w:t>
              <w:br/>
              <w:t>Outstanding</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w:t>
              <w:br/>
              <w:t>Value</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Liquidation</w:t>
              <w:br/>
              <w:t>Value</w:t>
            </w:r>
          </w:p>
        </w:tc>
        <w:tc>
          <w:tcPr>
            <w:tcW w:w="68" w:type="dxa"/>
            <w:tcBorders/>
            <w:vAlign w:val="bottom"/>
          </w:tcPr>
          <w:p>
            <w:pPr>
              <w:pStyle w:val="TableContents"/>
              <w:bidi w:val="0"/>
              <w:spacing w:before="0" w:after="283"/>
              <w:jc w:val="left"/>
              <w:rPr/>
            </w:pPr>
            <w:r>
              <w:rPr/>
              <w:t> </w:t>
            </w:r>
          </w:p>
        </w:tc>
      </w:tr>
      <w:tr>
        <w:trPr/>
        <w:tc>
          <w:tcPr>
            <w:tcW w:w="20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A-1</w:t>
            </w:r>
          </w:p>
        </w:tc>
        <w:tc>
          <w:tcPr>
            <w:tcW w:w="2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30,425,000</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w:t>
            </w:r>
          </w:p>
        </w:tc>
        <w:tc>
          <w:tcPr>
            <w:tcW w:w="91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30,425,000</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97" w:type="dxa"/>
            <w:tcBorders/>
            <w:shd w:fill="CCEEFF" w:val="clear"/>
            <w:vAlign w:val="bottom"/>
          </w:tcPr>
          <w:p>
            <w:pPr>
              <w:pStyle w:val="TableContents"/>
              <w:bidi w:val="0"/>
              <w:spacing w:before="0" w:after="283"/>
              <w:jc w:val="right"/>
              <w:rPr/>
            </w:pPr>
            <w:r>
              <w:rPr/>
              <w:t>26,046</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1122" w:type="dxa"/>
            <w:tcBorders/>
            <w:shd w:fill="CCEEFF" w:val="clear"/>
            <w:vAlign w:val="bottom"/>
          </w:tcPr>
          <w:p>
            <w:pPr>
              <w:pStyle w:val="TableContents"/>
              <w:bidi w:val="0"/>
              <w:spacing w:before="0" w:after="283"/>
              <w:jc w:val="right"/>
              <w:rPr/>
            </w:pPr>
            <w:r>
              <w:rPr/>
              <w:t>30,425</w:t>
            </w:r>
          </w:p>
        </w:tc>
        <w:tc>
          <w:tcPr>
            <w:tcW w:w="68" w:type="dxa"/>
            <w:tcBorders/>
            <w:shd w:fill="CCEEFF" w:val="clear"/>
            <w:vAlign w:val="bottom"/>
          </w:tcPr>
          <w:p>
            <w:pPr>
              <w:pStyle w:val="TableContents"/>
              <w:bidi w:val="0"/>
              <w:spacing w:before="0" w:after="283"/>
              <w:jc w:val="left"/>
              <w:rPr/>
            </w:pPr>
            <w:r>
              <w:rPr/>
              <w:t> </w:t>
            </w:r>
          </w:p>
        </w:tc>
      </w:tr>
      <w:tr>
        <w:trPr/>
        <w:tc>
          <w:tcPr>
            <w:tcW w:w="2087" w:type="dxa"/>
            <w:tcBorders/>
          </w:tcPr>
          <w:p>
            <w:pPr>
              <w:pStyle w:val="TableContents"/>
              <w:bidi w:val="0"/>
              <w:spacing w:before="0" w:after="0"/>
              <w:jc w:val="left"/>
              <w:rPr>
                <w:rFonts w:ascii="Times New Roman" w:hAnsi="Times New Roman"/>
                <w:sz w:val="20"/>
              </w:rPr>
            </w:pPr>
            <w:r>
              <w:rPr>
                <w:rFonts w:ascii="Times New Roman" w:hAnsi="Times New Roman"/>
                <w:sz w:val="20"/>
              </w:rPr>
              <w:t>Series A-2</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27,659,090</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w:t>
            </w:r>
          </w:p>
        </w:tc>
        <w:tc>
          <w:tcPr>
            <w:tcW w:w="918" w:type="dxa"/>
            <w:tcBorders/>
            <w:vAlign w:val="bottom"/>
          </w:tcPr>
          <w:p>
            <w:pPr>
              <w:pStyle w:val="TableContents"/>
              <w:bidi w:val="0"/>
              <w:spacing w:before="0" w:after="283"/>
              <w:jc w:val="right"/>
              <w:rPr/>
            </w:pPr>
            <w:r>
              <w:rPr/>
              <w:t>1.10</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27,659,090</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30,407</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30,425</w:t>
            </w:r>
          </w:p>
        </w:tc>
        <w:tc>
          <w:tcPr>
            <w:tcW w:w="68" w:type="dxa"/>
            <w:tcBorders/>
            <w:vAlign w:val="bottom"/>
          </w:tcPr>
          <w:p>
            <w:pPr>
              <w:pStyle w:val="TableContents"/>
              <w:bidi w:val="0"/>
              <w:spacing w:before="0" w:after="283"/>
              <w:jc w:val="left"/>
              <w:rPr/>
            </w:pPr>
            <w:r>
              <w:rPr/>
              <w:t> </w:t>
            </w:r>
          </w:p>
        </w:tc>
      </w:tr>
      <w:tr>
        <w:trPr/>
        <w:tc>
          <w:tcPr>
            <w:tcW w:w="20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B</w:t>
            </w:r>
          </w:p>
        </w:tc>
        <w:tc>
          <w:tcPr>
            <w:tcW w:w="2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76,363,636</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w:t>
            </w:r>
          </w:p>
        </w:tc>
        <w:tc>
          <w:tcPr>
            <w:tcW w:w="918" w:type="dxa"/>
            <w:tcBorders/>
            <w:shd w:fill="CCEEFF" w:val="clear"/>
            <w:vAlign w:val="bottom"/>
          </w:tcPr>
          <w:p>
            <w:pPr>
              <w:pStyle w:val="TableContents"/>
              <w:bidi w:val="0"/>
              <w:spacing w:before="0" w:after="283"/>
              <w:jc w:val="right"/>
              <w:rPr/>
            </w:pPr>
            <w:r>
              <w:rPr/>
              <w:t>1.38</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76,363,636</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111,773</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105,000</w:t>
            </w:r>
          </w:p>
        </w:tc>
        <w:tc>
          <w:tcPr>
            <w:tcW w:w="68" w:type="dxa"/>
            <w:tcBorders/>
            <w:shd w:fill="CCEEFF" w:val="clear"/>
            <w:vAlign w:val="bottom"/>
          </w:tcPr>
          <w:p>
            <w:pPr>
              <w:pStyle w:val="TableContents"/>
              <w:bidi w:val="0"/>
              <w:spacing w:before="0" w:after="283"/>
              <w:jc w:val="left"/>
              <w:rPr/>
            </w:pPr>
            <w:r>
              <w:rPr/>
              <w:t> </w:t>
            </w:r>
          </w:p>
        </w:tc>
      </w:tr>
      <w:tr>
        <w:trPr/>
        <w:tc>
          <w:tcPr>
            <w:tcW w:w="2087" w:type="dxa"/>
            <w:tcBorders/>
          </w:tcPr>
          <w:p>
            <w:pPr>
              <w:pStyle w:val="TableContents"/>
              <w:bidi w:val="0"/>
              <w:spacing w:before="0" w:after="0"/>
              <w:jc w:val="left"/>
              <w:rPr>
                <w:rFonts w:ascii="Times New Roman" w:hAnsi="Times New Roman"/>
                <w:sz w:val="20"/>
              </w:rPr>
            </w:pPr>
            <w:r>
              <w:rPr>
                <w:rFonts w:ascii="Times New Roman" w:hAnsi="Times New Roman"/>
                <w:sz w:val="20"/>
              </w:rPr>
              <w:t>Series C</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65,454,544</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w:t>
            </w:r>
          </w:p>
        </w:tc>
        <w:tc>
          <w:tcPr>
            <w:tcW w:w="918" w:type="dxa"/>
            <w:tcBorders/>
            <w:vAlign w:val="bottom"/>
          </w:tcPr>
          <w:p>
            <w:pPr>
              <w:pStyle w:val="TableContents"/>
              <w:bidi w:val="0"/>
              <w:spacing w:before="0" w:after="283"/>
              <w:jc w:val="right"/>
              <w:rPr/>
            </w:pPr>
            <w:r>
              <w:rPr/>
              <w:t>1.38</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65,454,544</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90,000</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90,000</w:t>
            </w:r>
          </w:p>
        </w:tc>
        <w:tc>
          <w:tcPr>
            <w:tcW w:w="68" w:type="dxa"/>
            <w:tcBorders/>
            <w:vAlign w:val="bottom"/>
          </w:tcPr>
          <w:p>
            <w:pPr>
              <w:pStyle w:val="TableContents"/>
              <w:bidi w:val="0"/>
              <w:spacing w:before="0" w:after="283"/>
              <w:jc w:val="left"/>
              <w:rPr/>
            </w:pPr>
            <w:r>
              <w:rPr/>
              <w:t> </w:t>
            </w:r>
          </w:p>
        </w:tc>
      </w:tr>
      <w:tr>
        <w:trPr/>
        <w:tc>
          <w:tcPr>
            <w:tcW w:w="2087"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sz w:val="4"/>
                <w:szCs w:val="4"/>
              </w:rPr>
            </w:pPr>
            <w:r>
              <w:rPr>
                <w:sz w:val="4"/>
                <w:szCs w:val="4"/>
              </w:rPr>
            </w:r>
          </w:p>
        </w:tc>
        <w:tc>
          <w:tcPr>
            <w:tcW w:w="9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2087" w:type="dxa"/>
            <w:tcBorders/>
            <w:shd w:fill="CCEEFF" w:val="clear"/>
          </w:tcPr>
          <w:p>
            <w:pPr>
              <w:pStyle w:val="TableContents"/>
              <w:bidi w:val="0"/>
              <w:spacing w:before="0" w:after="0"/>
              <w:jc w:val="left"/>
              <w:rPr/>
            </w:pPr>
            <w:r>
              <w:rPr/>
              <w:t>    </w:t>
            </w:r>
          </w:p>
        </w:tc>
        <w:tc>
          <w:tcPr>
            <w:tcW w:w="2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199,902,270</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sz w:val="4"/>
                <w:szCs w:val="4"/>
              </w:rPr>
            </w:pPr>
            <w:r>
              <w:rPr>
                <w:sz w:val="4"/>
                <w:szCs w:val="4"/>
              </w:rPr>
            </w:r>
          </w:p>
        </w:tc>
        <w:tc>
          <w:tcPr>
            <w:tcW w:w="9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199,902,270</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97" w:type="dxa"/>
            <w:tcBorders/>
            <w:shd w:fill="CCEEFF" w:val="clear"/>
            <w:vAlign w:val="bottom"/>
          </w:tcPr>
          <w:p>
            <w:pPr>
              <w:pStyle w:val="TableContents"/>
              <w:bidi w:val="0"/>
              <w:spacing w:before="0" w:after="283"/>
              <w:jc w:val="right"/>
              <w:rPr/>
            </w:pPr>
            <w:r>
              <w:rPr/>
              <w:t>258,226</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1122" w:type="dxa"/>
            <w:tcBorders/>
            <w:shd w:fill="CCEEFF" w:val="clear"/>
            <w:vAlign w:val="bottom"/>
          </w:tcPr>
          <w:p>
            <w:pPr>
              <w:pStyle w:val="TableContents"/>
              <w:bidi w:val="0"/>
              <w:spacing w:before="0" w:after="283"/>
              <w:jc w:val="right"/>
              <w:rPr/>
            </w:pPr>
            <w:r>
              <w:rPr/>
              <w:t>255,850</w:t>
            </w:r>
          </w:p>
        </w:tc>
        <w:tc>
          <w:tcPr>
            <w:tcW w:w="68" w:type="dxa"/>
            <w:tcBorders/>
            <w:shd w:fill="CCEEFF" w:val="clear"/>
            <w:vAlign w:val="bottom"/>
          </w:tcPr>
          <w:p>
            <w:pPr>
              <w:pStyle w:val="TableContents"/>
              <w:bidi w:val="0"/>
              <w:spacing w:before="0" w:after="283"/>
              <w:jc w:val="left"/>
              <w:rPr/>
            </w:pPr>
            <w:r>
              <w:rPr/>
              <w:t> </w:t>
            </w:r>
          </w:p>
        </w:tc>
      </w:tr>
      <w:tr>
        <w:trPr/>
        <w:tc>
          <w:tcPr>
            <w:tcW w:w="2087"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sz w:val="4"/>
                <w:szCs w:val="4"/>
              </w:rPr>
            </w:pPr>
            <w:r>
              <w:rPr>
                <w:sz w:val="4"/>
                <w:szCs w:val="4"/>
              </w:rPr>
            </w:r>
          </w:p>
        </w:tc>
        <w:tc>
          <w:tcPr>
            <w:tcW w:w="9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8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1122"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120" w:after="0"/>
        <w:jc w:val="both"/>
        <w:rPr>
          <w:rFonts w:ascii="Times New Roman" w:hAnsi="Times New Roman"/>
          <w:sz w:val="20"/>
        </w:rPr>
      </w:pPr>
      <w:r>
        <w:rPr>
          <w:rFonts w:ascii="Times New Roman" w:hAnsi="Times New Roman"/>
          <w:sz w:val="20"/>
        </w:rPr>
        <w:t xml:space="preserve">In May 2024, the Company entered into the Series B redeemable convertible preferred stock purchase agreement (the “Series B Purchase Agreement”) with certain investors and issued 38,181,818 shares of Series B redeemable convertible preferred stock at $1.375 per share for total gross proceeds of $52.5 million. The Series B Purchase Agreement also provides for the issuance and sale to the same investors of an additional 38,181,818 shares of Series B redeemable convertible preferred stock (“Series B Second Tranche Shares”) on the same terms as the shares issued at the initial closing, upon achieving the first dosing milestone or if the achievement of such milestone conditions is waived in writing by the holders of at least 66% of the then-outstanding shares of Series B redeemable convertible preferred stock (the “Series B Requisite Holders”) and the Board of Directors of the Company, including a majority of the then seated Preferred Directors (the “Series B Milestone Closing”) on or before June 30, 2026, or, at the option of the investors, at any time before that date. The Series B redeemable convertible preferred stock was recorded at its fair value of $47.5 million, less issuance costs of $0.3 million. </w:t>
      </w:r>
    </w:p>
    <w:p>
      <w:pPr>
        <w:pStyle w:val="TextBody"/>
        <w:bidi w:val="0"/>
        <w:spacing w:before="120" w:after="0"/>
        <w:jc w:val="both"/>
        <w:rPr>
          <w:rFonts w:ascii="Times New Roman" w:hAnsi="Times New Roman"/>
          <w:sz w:val="20"/>
        </w:rPr>
      </w:pPr>
      <w:r>
        <w:rPr>
          <w:rFonts w:ascii="Times New Roman" w:hAnsi="Times New Roman"/>
          <w:sz w:val="20"/>
        </w:rPr>
        <w:t xml:space="preserve">In January 2025, upon the achievement of the Series B milestone, the remaining 38,181,818 shares of the Series B redeemable convertible preferred stock were issued at a price of $1.375 per share, which resulted in gross cash proceeds of $52.5 million. As a result of this issuance, the Series B preferred stock tranche liability of $6.8 million was settled and the Series B redeemable convertible preferred stock was recorded at its fair value of $59.3 million, less issuance costs of less than $0.1 million (see Note 8). </w:t>
      </w:r>
    </w:p>
    <w:p>
      <w:pPr>
        <w:pStyle w:val="TextBody"/>
        <w:bidi w:val="0"/>
        <w:spacing w:before="120" w:after="0"/>
        <w:jc w:val="both"/>
        <w:rPr>
          <w:rFonts w:ascii="Times New Roman" w:hAnsi="Times New Roman"/>
          <w:sz w:val="20"/>
        </w:rPr>
      </w:pPr>
      <w:r>
        <w:rPr>
          <w:rFonts w:ascii="Times New Roman" w:hAnsi="Times New Roman"/>
          <w:sz w:val="20"/>
        </w:rPr>
        <w:t xml:space="preserve">In March 2025, the Company issued 65,454,544 shares of its Series C redeemable convertible preferred stock at a purchase price of $1.375 per share for total gross proceeds of $90.0 million. The Series C redeemable convertible preferred stock was recorded at fair value based on proceeds received, less issuance costs of $0.3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rights, preferences, privileges and restrictions granted to or imposed on the respective classes of the Company’s capital shares or the holders thereof are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Preference </w:t>
      </w:r>
    </w:p>
    <w:p>
      <w:pPr>
        <w:pStyle w:val="TextBody"/>
        <w:bidi w:val="0"/>
        <w:spacing w:before="120" w:after="0"/>
        <w:jc w:val="both"/>
        <w:rPr>
          <w:rFonts w:ascii="Times New Roman" w:hAnsi="Times New Roman"/>
          <w:sz w:val="20"/>
        </w:rPr>
      </w:pPr>
      <w:r>
        <w:rPr>
          <w:rFonts w:ascii="Times New Roman" w:hAnsi="Times New Roman"/>
          <w:sz w:val="20"/>
        </w:rPr>
        <w:t xml:space="preserve">In the event of any liquidation, dissolution or winding up of the Company, either voluntary or involuntary or a deemed liquidation event, including a merger, acquisition or sale of all or substantially all of the Company’s assets, (each a “Liquidation Event”), the holders of Series C and Series B redeemable convertible preferred stock shall be entitled to receive on a pari passu basis, prior and in preference to any distribution of any of the assets of the Company to the holders of Series A-1 redeemable convertible preferred stock, Series A-2 redeemable convertible preferred stock and common stock, an amount per share equal to the original issue price, plus any dividends declared but unpaid thereon. </w:t>
      </w:r>
    </w:p>
    <w:p>
      <w:pPr>
        <w:pStyle w:val="TextBody"/>
        <w:bidi w:val="0"/>
        <w:spacing w:before="120" w:after="0"/>
        <w:jc w:val="both"/>
        <w:rPr>
          <w:rFonts w:ascii="Times New Roman" w:hAnsi="Times New Roman"/>
          <w:sz w:val="20"/>
        </w:rPr>
      </w:pPr>
      <w:r>
        <w:rPr>
          <w:rFonts w:ascii="Times New Roman" w:hAnsi="Times New Roman"/>
          <w:sz w:val="20"/>
        </w:rPr>
        <w:t xml:space="preserve">After full payment to holders of the Series C and Series B redeemable convertible preferred stock, the holders of Series A-1 and A-2 redeemable convertible preferred stock shall be entitled to receive on a pari passu basis, prior and in preference to any distribution of any of the assets of the Company to the holders of common stock, an amount per share equal to the applicable original issue price, plus any dividends declared but unpaid thereon. </w:t>
      </w:r>
    </w:p>
    <w:p>
      <w:pPr>
        <w:pStyle w:val="TextBody"/>
        <w:bidi w:val="0"/>
        <w:spacing w:before="120" w:after="0"/>
        <w:jc w:val="both"/>
        <w:rPr>
          <w:rFonts w:ascii="Times New Roman" w:hAnsi="Times New Roman"/>
          <w:sz w:val="20"/>
        </w:rPr>
      </w:pPr>
      <w:r>
        <w:rPr>
          <w:rFonts w:ascii="Times New Roman" w:hAnsi="Times New Roman"/>
          <w:sz w:val="20"/>
        </w:rPr>
        <w:t xml:space="preserve">If the assets and funds are insufficient to permit the payment to holders of the redeemable convertible preferred stock of the full preferential amounts, then the entire assets and funds legally available for distribution to stockholders shall be distributed ratably among the holders of the respective series of redeemable convertible preferred stock in proportion to the respective amounts which would otherwise be payable in respect of the shares held by them upon such distribution if all amounts payable on or with respect to such shares were paid in full. </w:t>
      </w:r>
    </w:p>
    <w:p>
      <w:pPr>
        <w:pStyle w:val="TextBody"/>
        <w:bidi w:val="0"/>
        <w:spacing w:before="120" w:after="0"/>
        <w:jc w:val="both"/>
        <w:rPr>
          <w:rFonts w:ascii="Times New Roman" w:hAnsi="Times New Roman"/>
          <w:sz w:val="20"/>
        </w:rPr>
      </w:pPr>
      <w:r>
        <w:rPr>
          <w:rFonts w:ascii="Times New Roman" w:hAnsi="Times New Roman"/>
          <w:sz w:val="20"/>
        </w:rPr>
        <w:t xml:space="preserve">Upon completion of the distributions of the full amounts required above, all of the remaining assets of the Company available for distribution shall be distributed among the holders of redeemable convertible preferred stock and common stock pro rata on an as-converted basis, provided, however, that if the aggregate amount the holders of redeemable convertible preferred stock are entitled to receive shall exceed two and one-half times the applicable original issue price per share of the redeemable convertible preferred stock, as adjusted, plus any dividends declared but unpaid thereon (the “Participation Cap”), each holder of the redeemable convertible preferred stock shall only be entitled to receive the greater of (a) the Participation Cap and (b) the amount such holder would have received if all shares of such series of redeemable convertible preferred stock had been converted into common stock immediately prior to such Liquidation Event.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w:t>
      </w:r>
    </w:p>
    <w:p>
      <w:pPr>
        <w:pStyle w:val="TextBody"/>
        <w:bidi w:val="0"/>
        <w:spacing w:before="120" w:after="0"/>
        <w:jc w:val="both"/>
        <w:rPr>
          <w:rFonts w:ascii="Times New Roman" w:hAnsi="Times New Roman"/>
          <w:sz w:val="20"/>
        </w:rPr>
      </w:pPr>
      <w:r>
        <w:rPr>
          <w:rFonts w:ascii="Times New Roman" w:hAnsi="Times New Roman"/>
          <w:sz w:val="20"/>
        </w:rPr>
        <w:t xml:space="preserve">Each share of redeemable convertible preferred stock is convertible, at the option of the holder thereof, at any time, into such number of fully paid and nonassessable shares of common stock as is determined by dividing the applicable original issue price by the conversion price of $9.29 for shares of Series A-1 redeemable convertible preferred stock, $10.22 for Series A-2 redeemable convertible preferred stock and $12.77 for shares of Series B and Series C redeemable convertible preferred stock, as adjusted for any stock splits, stock dividends, combinations, recapitalizations or the like, as well as any down-round anti-dilution adjustments. </w:t>
      </w:r>
    </w:p>
    <w:p>
      <w:pPr>
        <w:pStyle w:val="TextBody"/>
        <w:bidi w:val="0"/>
        <w:spacing w:before="120" w:after="0"/>
        <w:jc w:val="both"/>
        <w:rPr>
          <w:rFonts w:ascii="Times New Roman" w:hAnsi="Times New Roman"/>
          <w:sz w:val="20"/>
        </w:rPr>
      </w:pPr>
      <w:r>
        <w:rPr>
          <w:rFonts w:ascii="Times New Roman" w:hAnsi="Times New Roman"/>
          <w:sz w:val="20"/>
        </w:rPr>
        <w:t xml:space="preserve">Each share of redeemable convertible preferred stock will automatically be converted into shares of common stock at the then-effective conversion rate either (a) upon the closing of the sale of shares of common stock to the public in a firm-commitment underwritten public offering pursuant to an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registration statement under the Securities Act of 1933, as amended, that is either (i) approved by the holders of at least 66% of the outstanding shares of redeemable convertible preferred stock, voting together as a single class on an as-converted basis (“Requisite Holders”), including the Series B Requisite Holders and Series C Requisite Holders, or (ii) at a price of at least $15.33 per share, resulting in at least $100.0 million of gross proceeds to the Company and in connection with such offering the Company’s common stock is listed for trading on the Nasdaq Stock Market’s National Market, the New York Stock Exchange or such other international exchange of equal stature, or (b) by vote or written consent of the Requisite 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both"/>
        <w:rPr>
          <w:rFonts w:ascii="Times New Roman" w:hAnsi="Times New Roman"/>
          <w:sz w:val="20"/>
        </w:rPr>
      </w:pPr>
      <w:r>
        <w:rPr>
          <w:rFonts w:ascii="Times New Roman" w:hAnsi="Times New Roman"/>
          <w:sz w:val="20"/>
        </w:rPr>
        <w:t xml:space="preserve">The holders of the outstanding shares of Series C and Series B redeemable convertible preferred stock are entitled to receive, only when, as and if declared by the Company’s board of directors, out of any funds and assets legally available therefor, non-cumulative dividends at the rate of 8% of the original issue price for each share of Series C and Series B redeemable convertible preferred stock, prior and in preference to any dividends paid to the holders of Series A-1 redeemable convertible preferred stock, Series A-2 redeemable convertible preferred stock and common stock (other than dividends on shares of common stock payable in shares of common stock). The holders of the outstanding shares of Series A-2 and Series A-1 redeemable convertible preferred stock are entitled to receive, only when, as and if declared by the Company’s board of directors, out of any funds and assets legally available therefor, non-cumulative dividends at the rate of 8% of the original issue price for each share of Series A-1 and Series A-2 redeemable convertible preferred stock, prior and in preference to any dividends paid to the holders of common stock (other than dividends on shares of common stock payable in shares of common stock). After payment of the full amount of any dividends described above, any additional dividends are distributed among all holders of common stock and the redeemable convertible preferred stock on an as-converted basis. Whenever a dividend is payable in property other than cash, the value of such dividend is deemed to be the fair market value of such property as determined in good faith by the Company’s board of directors. </w:t>
      </w:r>
    </w:p>
    <w:p>
      <w:pPr>
        <w:pStyle w:val="TextBody"/>
        <w:bidi w:val="0"/>
        <w:spacing w:before="120" w:after="0"/>
        <w:jc w:val="both"/>
        <w:rPr>
          <w:rFonts w:ascii="Times New Roman" w:hAnsi="Times New Roman"/>
          <w:sz w:val="20"/>
        </w:rPr>
      </w:pPr>
      <w:r>
        <w:rPr>
          <w:rFonts w:ascii="Times New Roman" w:hAnsi="Times New Roman"/>
          <w:sz w:val="20"/>
        </w:rPr>
        <w:t xml:space="preserve">No dividends were declared as of December 31, 2025 and March 31,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w:t>
      </w:r>
    </w:p>
    <w:p>
      <w:pPr>
        <w:pStyle w:val="TextBody"/>
        <w:bidi w:val="0"/>
        <w:spacing w:before="120" w:after="0"/>
        <w:jc w:val="both"/>
        <w:rPr>
          <w:rFonts w:ascii="Times New Roman" w:hAnsi="Times New Roman"/>
          <w:sz w:val="20"/>
        </w:rPr>
      </w:pPr>
      <w:r>
        <w:rPr>
          <w:rFonts w:ascii="Times New Roman" w:hAnsi="Times New Roman"/>
          <w:sz w:val="20"/>
        </w:rPr>
        <w:t xml:space="preserve">The holders of each share of redeemable convertible preferred stock are entitled to the number of votes equal to the number of shares of common stock into which such shares of redeemable convertible preferred stock could be converted. With respect to such votes, the holders have full voting rights and powers equal to the voting rights and powers of common stock. </w:t>
      </w:r>
    </w:p>
    <w:p>
      <w:pPr>
        <w:pStyle w:val="TextBody"/>
        <w:bidi w:val="0"/>
        <w:spacing w:before="120" w:after="0"/>
        <w:jc w:val="both"/>
        <w:rPr>
          <w:rFonts w:ascii="Times New Roman" w:hAnsi="Times New Roman"/>
          <w:sz w:val="20"/>
        </w:rPr>
      </w:pPr>
      <w:r>
        <w:rPr>
          <w:rFonts w:ascii="Times New Roman" w:hAnsi="Times New Roman"/>
          <w:sz w:val="20"/>
        </w:rPr>
        <w:t xml:space="preserve">The holders of Series C redeemable convertible preferred stock, exclusively and as a separate class, are entitled to elect one director of the Company. The holders of Series B redeemable convertible preferred stock, exclusively and as a separate class, are entitled to elect one director of the Company. The holders of Series A-1 redeemable convertible preferred stock and Series A-2 redeemable convertible preferred stock, exclusively and as a separate class, are entitled to elect two directors of the Company. The holders of common stock, exclusively and as a separate class, are entitled to elect two directors of the Company. The holders of shares of redeemable convertible preferred stock and common stock are entitled, voting together as a combined class and on an as-converted basis, to elect the remaining directors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w:t>
      </w:r>
    </w:p>
    <w:p>
      <w:pPr>
        <w:pStyle w:val="TextBody"/>
        <w:bidi w:val="0"/>
        <w:spacing w:before="120" w:after="0"/>
        <w:jc w:val="both"/>
        <w:rPr>
          <w:rFonts w:ascii="Times New Roman" w:hAnsi="Times New Roman"/>
          <w:sz w:val="20"/>
        </w:rPr>
      </w:pPr>
      <w:r>
        <w:rPr>
          <w:rFonts w:ascii="Times New Roman" w:hAnsi="Times New Roman"/>
          <w:sz w:val="20"/>
        </w:rPr>
        <w:t xml:space="preserve">The shares of Series C redeemable convertible preferred stock shall be redeemed by the Company at a price per share equal to the applicable original issue price, plus all declared but unpaid dividends thereon, in 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installment commencing not more than 60 days after receipt by the Company and the other holders of Series C redeemable convertible preferred stock of written notice requesting redemption of all shares of Series C redeemable convertible preferred stock held by such holder of Series C redeemable convertible preferred stock. The redemption can happen at any time on or after March 31, 2035, provided that a firm-commitment underwritten public offering pursuant to an effective registration statement under the Securities Act of 1933, as amended, or a deemed liquidation event, has not occurred prior to that date. </w:t>
      </w:r>
    </w:p>
    <w:p>
      <w:pPr>
        <w:pStyle w:val="TextBody"/>
        <w:bidi w:val="0"/>
        <w:spacing w:before="120" w:after="0"/>
        <w:jc w:val="both"/>
        <w:rPr>
          <w:rFonts w:ascii="Times New Roman" w:hAnsi="Times New Roman"/>
          <w:sz w:val="20"/>
        </w:rPr>
      </w:pPr>
      <w:r>
        <w:rPr>
          <w:rFonts w:ascii="Times New Roman" w:hAnsi="Times New Roman"/>
          <w:sz w:val="20"/>
        </w:rPr>
        <w:t xml:space="preserve">The shares of Series B redeemable convertible preferred stock shall be redeemed by the Company at a price per share equal to the applicable original issue price, plus all declared but unpaid dividends thereon, in one installment commencing not more than 60 days after receipt by the Company and the other holders of Series B redeemable convertible preferred stock of written notice requesting redemption of all shares of Series B redeemable convertible preferred stock held by such holder of Series B redeemable convertible preferred stock. The redemption can happen at any time on or after March 31, 2035, provided that a firm-commitment underwritten public offering pursuant to an effective registration statement under the Securities Act of 1933, as amended, or a deemed liquidation event, has not occurred prior to that date. </w:t>
      </w:r>
    </w:p>
    <w:p>
      <w:pPr>
        <w:pStyle w:val="TextBody"/>
        <w:bidi w:val="0"/>
        <w:spacing w:before="120" w:after="0"/>
        <w:jc w:val="both"/>
        <w:rPr>
          <w:rFonts w:ascii="Times New Roman" w:hAnsi="Times New Roman"/>
          <w:sz w:val="20"/>
        </w:rPr>
      </w:pPr>
      <w:r>
        <w:rPr>
          <w:rFonts w:ascii="Times New Roman" w:hAnsi="Times New Roman"/>
          <w:sz w:val="20"/>
        </w:rPr>
        <w:t>The shares of Series A-1 redeemable convertible preferred stock and Series A-2 redeemable convertible preferred stock are not redeemable other than upon the occurrence of a Liquidation Event.</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Preferred Stock Tranche Liability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Company determined that the contingent obligation to issue shares of the Series B Second Tranche Shares at the Series B Milestone Closing represented a freestanding instrument. This instrument, referred to as the Series B preferred stock tranche liability, was accounted for as a liability, initially recorded and subsequently remeasured at fair value until the settlement or expiration. </w:t>
      </w:r>
    </w:p>
    <w:p>
      <w:pPr>
        <w:pStyle w:val="TextBody"/>
        <w:bidi w:val="0"/>
        <w:spacing w:before="120" w:after="0"/>
        <w:jc w:val="both"/>
        <w:rPr>
          <w:rFonts w:ascii="Times New Roman" w:hAnsi="Times New Roman"/>
          <w:sz w:val="20"/>
        </w:rPr>
      </w:pPr>
      <w:r>
        <w:rPr>
          <w:rFonts w:ascii="Times New Roman" w:hAnsi="Times New Roman"/>
          <w:sz w:val="20"/>
        </w:rPr>
        <w:t xml:space="preserve">The Series B preferred stock tranche was settled in January 2025 when the Series B milestone was achieved (see Note 7). The Company remeasured the Series B preferred stock tranche liability in January 2025 and determined that the fair value of the liability was $6.8 million, and recorded an approximately $0.2 million loss in its condensed consolidated statements of operations and comprehensive loss during the three months ended March 31, 2025. </w:t>
      </w:r>
    </w:p>
    <w:p>
      <w:pPr>
        <w:pStyle w:val="TextBody"/>
        <w:bidi w:val="0"/>
        <w:spacing w:before="120" w:after="0"/>
        <w:jc w:val="both"/>
        <w:rPr>
          <w:rFonts w:ascii="Times New Roman" w:hAnsi="Times New Roman"/>
          <w:sz w:val="20"/>
        </w:rPr>
      </w:pPr>
      <w:r>
        <w:rPr>
          <w:rFonts w:ascii="Times New Roman" w:hAnsi="Times New Roman"/>
          <w:sz w:val="20"/>
        </w:rPr>
        <w:t xml:space="preserve">The preferred stock tranche liability was valued using a probability-weighted present value calculation. In determining the fair value of the preferred stock tranche liability, estimates and assumptions impacting fair value included (i) discount rates, (ii) the expected term of the forward, and (iii) the probability of the tranche closing. Significant increases (decreases) in any of those inputs in isolation may result in a significant change in fair value measurement. The Company determined the per share future value of the Series B redeemable convertible preferred stock back-solving to the original issue price of the Series B redeemable convertible preferred stock financings. In January 2025, upon the achievement of the Series B milestone, the Series B Milestone Closing was completed, and the associated Series B preferred stock tranche liability was settled. The fair value of the Series B redeemable convertible preferred stock was $1.55 per share and represented the only input used in determining the fair value of the Series B preferred stock tranche liability upon the Series B Milestone Closing.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Common Stock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Company is authorized to issue 284,023,000 shares of common stock with a par value of $0.0001. There were 4,511,041 shares of common stock issued and outstanding as of March 31,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Company had reserved common stock, on an as-converted basis, for future issuance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49"/>
        <w:gridCol w:w="297"/>
        <w:gridCol w:w="73"/>
        <w:gridCol w:w="1344"/>
        <w:gridCol w:w="60"/>
        <w:gridCol w:w="297"/>
        <w:gridCol w:w="60"/>
        <w:gridCol w:w="1111"/>
        <w:gridCol w:w="64"/>
      </w:tblGrid>
      <w:tr>
        <w:trPr/>
        <w:tc>
          <w:tcPr>
            <w:tcW w:w="4449"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449"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64" w:type="dxa"/>
            <w:tcBorders/>
            <w:vAlign w:val="bottom"/>
          </w:tcPr>
          <w:p>
            <w:pPr>
              <w:pStyle w:val="TableContents"/>
              <w:bidi w:val="0"/>
              <w:spacing w:before="0" w:after="283"/>
              <w:jc w:val="left"/>
              <w:rPr/>
            </w:pPr>
            <w:r>
              <w:rPr/>
              <w:t> </w:t>
            </w:r>
          </w:p>
        </w:tc>
      </w:tr>
      <w:tr>
        <w:trPr/>
        <w:tc>
          <w:tcPr>
            <w:tcW w:w="4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Conversion of redeemable convertible preferred shares</w:t>
            </w:r>
          </w:p>
        </w:tc>
        <w:tc>
          <w:tcPr>
            <w:tcW w:w="29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21,517,976</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21,517,976</w:t>
            </w:r>
          </w:p>
        </w:tc>
        <w:tc>
          <w:tcPr>
            <w:tcW w:w="64" w:type="dxa"/>
            <w:tcBorders/>
            <w:shd w:fill="CCEEFF" w:val="clear"/>
            <w:vAlign w:val="bottom"/>
          </w:tcPr>
          <w:p>
            <w:pPr>
              <w:pStyle w:val="TableContents"/>
              <w:bidi w:val="0"/>
              <w:spacing w:before="0" w:after="283"/>
              <w:jc w:val="left"/>
              <w:rPr/>
            </w:pPr>
            <w:r>
              <w:rPr/>
              <w:t> </w:t>
            </w:r>
          </w:p>
        </w:tc>
      </w:tr>
      <w:tr>
        <w:trPr/>
        <w:tc>
          <w:tcPr>
            <w:tcW w:w="4449" w:type="dxa"/>
            <w:tcBorders/>
          </w:tcPr>
          <w:p>
            <w:pPr>
              <w:pStyle w:val="TableContents"/>
              <w:bidi w:val="0"/>
              <w:spacing w:before="0" w:after="0"/>
              <w:jc w:val="left"/>
              <w:rPr>
                <w:rFonts w:ascii="Times New Roman" w:hAnsi="Times New Roman"/>
                <w:sz w:val="20"/>
              </w:rPr>
            </w:pPr>
            <w:r>
              <w:rPr>
                <w:rFonts w:ascii="Times New Roman" w:hAnsi="Times New Roman"/>
                <w:sz w:val="20"/>
              </w:rPr>
              <w:t>Share options issued and outstanding</w:t>
            </w:r>
          </w:p>
        </w:tc>
        <w:tc>
          <w:tcPr>
            <w:tcW w:w="29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pPr>
            <w:r>
              <w:rPr/>
              <w:t>2,642,930</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2,704,695</w:t>
            </w:r>
          </w:p>
        </w:tc>
        <w:tc>
          <w:tcPr>
            <w:tcW w:w="64" w:type="dxa"/>
            <w:tcBorders/>
            <w:vAlign w:val="bottom"/>
          </w:tcPr>
          <w:p>
            <w:pPr>
              <w:pStyle w:val="TableContents"/>
              <w:bidi w:val="0"/>
              <w:spacing w:before="0" w:after="283"/>
              <w:jc w:val="left"/>
              <w:rPr/>
            </w:pPr>
            <w:r>
              <w:rPr/>
              <w:t> </w:t>
            </w:r>
          </w:p>
        </w:tc>
      </w:tr>
      <w:tr>
        <w:trPr/>
        <w:tc>
          <w:tcPr>
            <w:tcW w:w="4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options available for future grant</w:t>
            </w:r>
          </w:p>
        </w:tc>
        <w:tc>
          <w:tcPr>
            <w:tcW w:w="29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448,980</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383,264</w:t>
            </w:r>
          </w:p>
        </w:tc>
        <w:tc>
          <w:tcPr>
            <w:tcW w:w="64" w:type="dxa"/>
            <w:tcBorders/>
            <w:shd w:fill="CCEEFF" w:val="clear"/>
            <w:vAlign w:val="bottom"/>
          </w:tcPr>
          <w:p>
            <w:pPr>
              <w:pStyle w:val="TableContents"/>
              <w:bidi w:val="0"/>
              <w:spacing w:before="0" w:after="283"/>
              <w:jc w:val="left"/>
              <w:rPr/>
            </w:pPr>
            <w:r>
              <w:rPr/>
              <w:t> </w:t>
            </w:r>
          </w:p>
        </w:tc>
      </w:tr>
      <w:tr>
        <w:trPr/>
        <w:tc>
          <w:tcPr>
            <w:tcW w:w="4449"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449" w:type="dxa"/>
            <w:tcBorders/>
          </w:tcPr>
          <w:p>
            <w:pPr>
              <w:pStyle w:val="TableContents"/>
              <w:bidi w:val="0"/>
              <w:spacing w:before="0" w:after="0"/>
              <w:jc w:val="left"/>
              <w:rPr>
                <w:rFonts w:ascii="Times New Roman" w:hAnsi="Times New Roman"/>
                <w:sz w:val="20"/>
              </w:rPr>
            </w:pPr>
            <w:r>
              <w:rPr>
                <w:rFonts w:ascii="Times New Roman" w:hAnsi="Times New Roman"/>
                <w:sz w:val="20"/>
              </w:rPr>
              <w:t>Total ordinary shares reserved</w:t>
            </w:r>
          </w:p>
        </w:tc>
        <w:tc>
          <w:tcPr>
            <w:tcW w:w="29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pPr>
            <w:r>
              <w:rPr/>
              <w:t>24,609,886</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24,605,935</w:t>
            </w:r>
          </w:p>
        </w:tc>
        <w:tc>
          <w:tcPr>
            <w:tcW w:w="64" w:type="dxa"/>
            <w:tcBorders/>
            <w:vAlign w:val="bottom"/>
          </w:tcPr>
          <w:p>
            <w:pPr>
              <w:pStyle w:val="TableContents"/>
              <w:bidi w:val="0"/>
              <w:spacing w:before="0" w:after="283"/>
              <w:jc w:val="left"/>
              <w:rPr/>
            </w:pPr>
            <w:r>
              <w:rPr/>
              <w:t> </w:t>
            </w:r>
          </w:p>
        </w:tc>
      </w:tr>
      <w:tr>
        <w:trPr/>
        <w:tc>
          <w:tcPr>
            <w:tcW w:w="4449"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134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10.</w:t>
            </w:r>
          </w:p>
        </w:tc>
        <w:tc>
          <w:tcPr>
            <w:tcW w:w="9797"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Share-based Compensation </w:t>
            </w:r>
          </w:p>
        </w:tc>
      </w:tr>
    </w:tbl>
    <w:p>
      <w:pPr>
        <w:pStyle w:val="TextBody"/>
        <w:bidi w:val="0"/>
        <w:spacing w:before="120" w:after="0"/>
        <w:jc w:val="both"/>
        <w:rPr>
          <w:rFonts w:ascii="Times New Roman" w:hAnsi="Times New Roman"/>
          <w:sz w:val="20"/>
        </w:rPr>
      </w:pPr>
      <w:r>
        <w:rPr>
          <w:rFonts w:ascii="Times New Roman" w:hAnsi="Times New Roman"/>
          <w:sz w:val="20"/>
        </w:rPr>
        <w:t xml:space="preserve">In 2023, the Company adopted the 2023 Equity Incentive Plan (“2023 Plan”), under which the Board of Directors can issue options to purchase shares of common stock. As of March 31, 2026, there were 3,293,424 shares of common stock authorized and reserved for issuance under the 2023 Plan. 383,264 shares of common stock remain available for future grants as of March 31, 2026. </w:t>
      </w:r>
    </w:p>
    <w:p>
      <w:pPr>
        <w:pStyle w:val="TextBody"/>
        <w:bidi w:val="0"/>
        <w:spacing w:before="120" w:after="0"/>
        <w:jc w:val="both"/>
        <w:rPr>
          <w:rFonts w:ascii="Times New Roman" w:hAnsi="Times New Roman"/>
          <w:sz w:val="20"/>
        </w:rPr>
      </w:pPr>
      <w:r>
        <w:rPr>
          <w:rFonts w:ascii="Times New Roman" w:hAnsi="Times New Roman"/>
          <w:sz w:val="20"/>
        </w:rPr>
        <w:t xml:space="preserve">Awards granted under the 2023 Plan may be either incentive stock options (“ISOs”), nonstatutory stock options (“NSOs”), restricted stock awards (“RSAs”), restricted stock units (“RSUs”) or stock appreciation rights (“SARs”). ISOs may be granted only to Company employees (including officers and directors who are also employees). NSOs may be granted to Company employees and consultants. The Board of Directors of the Company has the authority to approve the option recipient, the number of shares, the term, and the exercise price. The exercise price of ISOs and NSOs shall not be less than 100% of the estimated fair value of the shares on the date of grant. The exercise price of ISOs shall be no less than 110% of the estimated fair value of the shares on the date of grant to any employee who, at the time of grant, owns shares representing more than 10% (“10% shareholder”) of the voting power of all classes of shares of the Company. The options usually have a term of 10 years (or no more than five years if granted to a 10% shareholder). Vesting conditions determined by the plan administrator may apply to stock options and may include continued service, performance and/or other conditions. Generally, options and restricted stock awards vest over a four-year period. </w:t>
      </w:r>
    </w:p>
    <w:p>
      <w:pPr>
        <w:pStyle w:val="TextBody"/>
        <w:bidi w:val="0"/>
        <w:spacing w:before="120" w:after="0"/>
        <w:jc w:val="both"/>
        <w:rPr>
          <w:rFonts w:ascii="Times New Roman" w:hAnsi="Times New Roman"/>
          <w:sz w:val="20"/>
        </w:rPr>
      </w:pPr>
      <w:r>
        <w:rPr>
          <w:rFonts w:ascii="Times New Roman" w:hAnsi="Times New Roman"/>
          <w:sz w:val="20"/>
        </w:rPr>
        <w:t xml:space="preserve">The Company had not granted any RSUs and SARs as of March 31, 2026. </w:t>
      </w:r>
    </w:p>
    <w:p>
      <w:pPr>
        <w:pStyle w:val="TextBody"/>
        <w:bidi w:val="0"/>
        <w:spacing w:before="360" w:after="0"/>
        <w:jc w:val="left"/>
        <w:rPr>
          <w:rFonts w:ascii="Times New Roman" w:hAnsi="Times New Roman"/>
          <w:i/>
          <w:sz w:val="20"/>
        </w:rPr>
      </w:pPr>
      <w:r>
        <w:rPr>
          <w:rFonts w:ascii="Times New Roman" w:hAnsi="Times New Roman"/>
          <w:i/>
          <w:sz w:val="20"/>
        </w:rPr>
        <w:t xml:space="preserve">Options </w:t>
      </w:r>
    </w:p>
    <w:p>
      <w:pPr>
        <w:pStyle w:val="TextBody"/>
        <w:bidi w:val="0"/>
        <w:spacing w:before="120" w:after="0"/>
        <w:jc w:val="both"/>
        <w:rPr>
          <w:rFonts w:ascii="Times New Roman" w:hAnsi="Times New Roman"/>
          <w:sz w:val="20"/>
        </w:rPr>
      </w:pPr>
      <w:r>
        <w:rPr>
          <w:rFonts w:ascii="Times New Roman" w:hAnsi="Times New Roman"/>
          <w:sz w:val="20"/>
        </w:rPr>
        <w:t xml:space="preserve">A summary of stock option activity is set forth below: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2110"/>
        <w:gridCol w:w="270"/>
        <w:gridCol w:w="68"/>
        <w:gridCol w:w="1066"/>
        <w:gridCol w:w="155"/>
        <w:gridCol w:w="270"/>
        <w:gridCol w:w="259"/>
        <w:gridCol w:w="814"/>
        <w:gridCol w:w="60"/>
        <w:gridCol w:w="270"/>
        <w:gridCol w:w="181"/>
        <w:gridCol w:w="1343"/>
        <w:gridCol w:w="60"/>
        <w:gridCol w:w="270"/>
        <w:gridCol w:w="239"/>
        <w:gridCol w:w="1169"/>
        <w:gridCol w:w="70"/>
      </w:tblGrid>
      <w:tr>
        <w:trPr/>
        <w:tc>
          <w:tcPr>
            <w:tcW w:w="2110"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11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63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Outstanding Awards</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2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08" w:type="dxa"/>
            <w:gridSpan w:val="2"/>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r>
      <w:tr>
        <w:trPr/>
        <w:tc>
          <w:tcPr>
            <w:tcW w:w="211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15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 (in years)</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w:t>
              <w:br/>
              <w:t>Value</w:t>
              <w:br/>
              <w:t>(in thousands)</w:t>
            </w:r>
          </w:p>
        </w:tc>
        <w:tc>
          <w:tcPr>
            <w:tcW w:w="70" w:type="dxa"/>
            <w:tcBorders/>
            <w:vAlign w:val="bottom"/>
          </w:tcPr>
          <w:p>
            <w:pPr>
              <w:pStyle w:val="TableContents"/>
              <w:bidi w:val="0"/>
              <w:spacing w:before="0" w:after="283"/>
              <w:jc w:val="left"/>
              <w:rPr/>
            </w:pPr>
            <w:r>
              <w:rPr/>
              <w:t> </w:t>
            </w:r>
          </w:p>
        </w:tc>
      </w:tr>
      <w:tr>
        <w:trPr/>
        <w:tc>
          <w:tcPr>
            <w:tcW w:w="21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Outstanding, January 1, 2026</w:t>
            </w:r>
          </w:p>
        </w:tc>
        <w:tc>
          <w:tcPr>
            <w:tcW w:w="27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2,642,930</w:t>
            </w:r>
          </w:p>
        </w:tc>
        <w:tc>
          <w:tcPr>
            <w:tcW w:w="155"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3.93</w:t>
            </w:r>
          </w:p>
        </w:tc>
        <w:tc>
          <w:tcPr>
            <w:tcW w:w="60"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343" w:type="dxa"/>
            <w:tcBorders/>
            <w:shd w:fill="CCEEFF" w:val="clear"/>
            <w:vAlign w:val="bottom"/>
          </w:tcPr>
          <w:p>
            <w:pPr>
              <w:pStyle w:val="TableContents"/>
              <w:bidi w:val="0"/>
              <w:spacing w:before="0" w:after="283"/>
              <w:jc w:val="right"/>
              <w:rPr/>
            </w:pPr>
            <w:r>
              <w:rPr/>
              <w:t>8.76</w:t>
            </w:r>
          </w:p>
        </w:tc>
        <w:tc>
          <w:tcPr>
            <w:tcW w:w="60"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169" w:type="dxa"/>
            <w:tcBorders/>
            <w:shd w:fill="CCEEFF" w:val="clear"/>
            <w:vAlign w:val="bottom"/>
          </w:tcPr>
          <w:p>
            <w:pPr>
              <w:pStyle w:val="TableContents"/>
              <w:bidi w:val="0"/>
              <w:spacing w:before="0" w:after="283"/>
              <w:jc w:val="right"/>
              <w:rPr/>
            </w:pPr>
            <w:r>
              <w:rPr/>
              <w:t>2,621</w:t>
            </w:r>
          </w:p>
        </w:tc>
        <w:tc>
          <w:tcPr>
            <w:tcW w:w="70" w:type="dxa"/>
            <w:tcBorders/>
            <w:shd w:fill="CCEEFF" w:val="clear"/>
            <w:vAlign w:val="bottom"/>
          </w:tcPr>
          <w:p>
            <w:pPr>
              <w:pStyle w:val="TableContents"/>
              <w:bidi w:val="0"/>
              <w:spacing w:before="0" w:after="283"/>
              <w:jc w:val="left"/>
              <w:rPr/>
            </w:pPr>
            <w:r>
              <w:rPr/>
              <w:t> </w:t>
            </w:r>
          </w:p>
        </w:tc>
      </w:tr>
      <w:tr>
        <w:trPr/>
        <w:tc>
          <w:tcPr>
            <w:tcW w:w="2110"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7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65,698</w:t>
            </w:r>
          </w:p>
        </w:tc>
        <w:tc>
          <w:tcPr>
            <w:tcW w:w="15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w:t>
            </w:r>
          </w:p>
        </w:tc>
        <w:tc>
          <w:tcPr>
            <w:tcW w:w="814" w:type="dxa"/>
            <w:tcBorders/>
            <w:vAlign w:val="bottom"/>
          </w:tcPr>
          <w:p>
            <w:pPr>
              <w:pStyle w:val="TableContents"/>
              <w:bidi w:val="0"/>
              <w:spacing w:before="0" w:after="283"/>
              <w:jc w:val="right"/>
              <w:rPr/>
            </w:pPr>
            <w:r>
              <w:rPr/>
              <w:t>7.99</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13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sz w:val="4"/>
                <w:szCs w:val="4"/>
              </w:rPr>
            </w:pPr>
            <w:r>
              <w:rPr>
                <w:sz w:val="4"/>
                <w:szCs w:val="4"/>
              </w:rPr>
            </w:r>
          </w:p>
        </w:tc>
        <w:tc>
          <w:tcPr>
            <w:tcW w:w="1169"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21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27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(3,933</w:t>
            </w:r>
          </w:p>
        </w:tc>
        <w:tc>
          <w:tcPr>
            <w:tcW w:w="155"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2.86</w:t>
            </w:r>
          </w:p>
        </w:tc>
        <w:tc>
          <w:tcPr>
            <w:tcW w:w="60"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34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169" w:type="dxa"/>
            <w:tcBorders/>
            <w:shd w:fill="CCEEFF" w:val="clear"/>
            <w:vAlign w:val="bottom"/>
          </w:tcPr>
          <w:p>
            <w:pPr>
              <w:pStyle w:val="TableContents"/>
              <w:bidi w:val="0"/>
              <w:spacing w:before="0" w:after="283"/>
              <w:jc w:val="right"/>
              <w:rPr/>
            </w:pPr>
            <w:r>
              <w:rPr/>
              <w:t>20</w:t>
            </w:r>
          </w:p>
        </w:tc>
        <w:tc>
          <w:tcPr>
            <w:tcW w:w="70" w:type="dxa"/>
            <w:tcBorders/>
            <w:shd w:fill="CCEEFF" w:val="clear"/>
            <w:vAlign w:val="bottom"/>
          </w:tcPr>
          <w:p>
            <w:pPr>
              <w:pStyle w:val="TableContents"/>
              <w:bidi w:val="0"/>
              <w:spacing w:before="0" w:after="283"/>
              <w:jc w:val="left"/>
              <w:rPr/>
            </w:pPr>
            <w:r>
              <w:rPr/>
              <w:t> </w:t>
            </w:r>
          </w:p>
        </w:tc>
      </w:tr>
      <w:tr>
        <w:trPr/>
        <w:tc>
          <w:tcPr>
            <w:tcW w:w="2110"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13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sz w:val="4"/>
                <w:szCs w:val="4"/>
              </w:rPr>
            </w:pPr>
            <w:r>
              <w:rPr>
                <w:sz w:val="4"/>
                <w:szCs w:val="4"/>
              </w:rPr>
            </w:r>
          </w:p>
        </w:tc>
        <w:tc>
          <w:tcPr>
            <w:tcW w:w="1169"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2110" w:type="dxa"/>
            <w:tcBorders/>
          </w:tcPr>
          <w:p>
            <w:pPr>
              <w:pStyle w:val="TableContents"/>
              <w:bidi w:val="0"/>
              <w:spacing w:before="0" w:after="0"/>
              <w:jc w:val="left"/>
              <w:rPr>
                <w:rFonts w:ascii="Times New Roman" w:hAnsi="Times New Roman"/>
                <w:b/>
                <w:sz w:val="20"/>
              </w:rPr>
            </w:pPr>
            <w:r>
              <w:rPr>
                <w:rFonts w:ascii="Times New Roman" w:hAnsi="Times New Roman"/>
                <w:b/>
                <w:sz w:val="20"/>
              </w:rPr>
              <w:t>Outstanding, March 31, 2026</w:t>
            </w:r>
          </w:p>
        </w:tc>
        <w:tc>
          <w:tcPr>
            <w:tcW w:w="27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2,704,695</w:t>
            </w:r>
          </w:p>
        </w:tc>
        <w:tc>
          <w:tcPr>
            <w:tcW w:w="15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w:t>
            </w:r>
          </w:p>
        </w:tc>
        <w:tc>
          <w:tcPr>
            <w:tcW w:w="814" w:type="dxa"/>
            <w:tcBorders/>
            <w:vAlign w:val="bottom"/>
          </w:tcPr>
          <w:p>
            <w:pPr>
              <w:pStyle w:val="TableContents"/>
              <w:bidi w:val="0"/>
              <w:spacing w:before="0" w:after="283"/>
              <w:jc w:val="right"/>
              <w:rPr/>
            </w:pPr>
            <w:r>
              <w:rPr/>
              <w:t>4.03</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343" w:type="dxa"/>
            <w:tcBorders/>
            <w:vAlign w:val="bottom"/>
          </w:tcPr>
          <w:p>
            <w:pPr>
              <w:pStyle w:val="TableContents"/>
              <w:bidi w:val="0"/>
              <w:spacing w:before="0" w:after="283"/>
              <w:jc w:val="right"/>
              <w:rPr/>
            </w:pPr>
            <w:r>
              <w:rPr/>
              <w:t>8.55</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169" w:type="dxa"/>
            <w:tcBorders/>
            <w:vAlign w:val="bottom"/>
          </w:tcPr>
          <w:p>
            <w:pPr>
              <w:pStyle w:val="TableContents"/>
              <w:bidi w:val="0"/>
              <w:spacing w:before="0" w:after="283"/>
              <w:jc w:val="right"/>
              <w:rPr/>
            </w:pPr>
            <w:r>
              <w:rPr/>
              <w:t>10,704</w:t>
            </w:r>
          </w:p>
        </w:tc>
        <w:tc>
          <w:tcPr>
            <w:tcW w:w="70" w:type="dxa"/>
            <w:tcBorders/>
            <w:vAlign w:val="bottom"/>
          </w:tcPr>
          <w:p>
            <w:pPr>
              <w:pStyle w:val="TableContents"/>
              <w:bidi w:val="0"/>
              <w:spacing w:before="0" w:after="283"/>
              <w:jc w:val="left"/>
              <w:rPr/>
            </w:pPr>
            <w:r>
              <w:rPr/>
              <w:t> </w:t>
            </w:r>
          </w:p>
        </w:tc>
      </w:tr>
      <w:tr>
        <w:trPr/>
        <w:tc>
          <w:tcPr>
            <w:tcW w:w="2110"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106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13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sz w:val="4"/>
                <w:szCs w:val="4"/>
              </w:rPr>
            </w:pPr>
            <w:r>
              <w:rPr>
                <w:sz w:val="4"/>
                <w:szCs w:val="4"/>
              </w:rPr>
            </w:r>
          </w:p>
        </w:tc>
        <w:tc>
          <w:tcPr>
            <w:tcW w:w="1169"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21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exercisable March 31, 2026</w:t>
            </w:r>
          </w:p>
        </w:tc>
        <w:tc>
          <w:tcPr>
            <w:tcW w:w="27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755,720</w:t>
            </w:r>
          </w:p>
        </w:tc>
        <w:tc>
          <w:tcPr>
            <w:tcW w:w="155"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3.34</w:t>
            </w:r>
          </w:p>
        </w:tc>
        <w:tc>
          <w:tcPr>
            <w:tcW w:w="60"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343" w:type="dxa"/>
            <w:tcBorders/>
            <w:shd w:fill="CCEEFF" w:val="clear"/>
            <w:vAlign w:val="bottom"/>
          </w:tcPr>
          <w:p>
            <w:pPr>
              <w:pStyle w:val="TableContents"/>
              <w:bidi w:val="0"/>
              <w:spacing w:before="0" w:after="283"/>
              <w:jc w:val="right"/>
              <w:rPr/>
            </w:pPr>
            <w:r>
              <w:rPr/>
              <w:t>8.11</w:t>
            </w:r>
          </w:p>
        </w:tc>
        <w:tc>
          <w:tcPr>
            <w:tcW w:w="60"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169" w:type="dxa"/>
            <w:tcBorders/>
            <w:shd w:fill="CCEEFF" w:val="clear"/>
            <w:vAlign w:val="bottom"/>
          </w:tcPr>
          <w:p>
            <w:pPr>
              <w:pStyle w:val="TableContents"/>
              <w:bidi w:val="0"/>
              <w:spacing w:before="0" w:after="283"/>
              <w:jc w:val="right"/>
              <w:rPr/>
            </w:pPr>
            <w:r>
              <w:rPr/>
              <w:t>3,524</w:t>
            </w:r>
          </w:p>
        </w:tc>
        <w:tc>
          <w:tcPr>
            <w:tcW w:w="70" w:type="dxa"/>
            <w:tcBorders/>
            <w:shd w:fill="CCEEFF" w:val="clear"/>
            <w:vAlign w:val="bottom"/>
          </w:tcPr>
          <w:p>
            <w:pPr>
              <w:pStyle w:val="TableContents"/>
              <w:bidi w:val="0"/>
              <w:spacing w:before="0" w:after="283"/>
              <w:jc w:val="left"/>
              <w:rPr/>
            </w:pPr>
            <w:r>
              <w:rPr/>
              <w:t> </w:t>
            </w:r>
          </w:p>
        </w:tc>
      </w:tr>
      <w:tr>
        <w:trPr/>
        <w:tc>
          <w:tcPr>
            <w:tcW w:w="2110" w:type="dxa"/>
            <w:tcBorders/>
          </w:tcPr>
          <w:p>
            <w:pPr>
              <w:pStyle w:val="TableContents"/>
              <w:bidi w:val="0"/>
              <w:spacing w:before="0" w:after="0"/>
              <w:jc w:val="left"/>
              <w:rPr>
                <w:rFonts w:ascii="Times New Roman" w:hAnsi="Times New Roman"/>
                <w:sz w:val="20"/>
              </w:rPr>
            </w:pPr>
            <w:r>
              <w:rPr>
                <w:rFonts w:ascii="Times New Roman" w:hAnsi="Times New Roman"/>
                <w:sz w:val="20"/>
              </w:rPr>
              <w:t>Vested and expected to vest, March 31, 2026</w:t>
            </w:r>
          </w:p>
        </w:tc>
        <w:tc>
          <w:tcPr>
            <w:tcW w:w="27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2,704,695</w:t>
            </w:r>
          </w:p>
        </w:tc>
        <w:tc>
          <w:tcPr>
            <w:tcW w:w="15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w:t>
            </w:r>
          </w:p>
        </w:tc>
        <w:tc>
          <w:tcPr>
            <w:tcW w:w="814" w:type="dxa"/>
            <w:tcBorders/>
            <w:vAlign w:val="bottom"/>
          </w:tcPr>
          <w:p>
            <w:pPr>
              <w:pStyle w:val="TableContents"/>
              <w:bidi w:val="0"/>
              <w:spacing w:before="0" w:after="283"/>
              <w:jc w:val="right"/>
              <w:rPr/>
            </w:pPr>
            <w:r>
              <w:rPr/>
              <w:t>4.03</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343" w:type="dxa"/>
            <w:tcBorders/>
            <w:vAlign w:val="bottom"/>
          </w:tcPr>
          <w:p>
            <w:pPr>
              <w:pStyle w:val="TableContents"/>
              <w:bidi w:val="0"/>
              <w:spacing w:before="0" w:after="283"/>
              <w:jc w:val="right"/>
              <w:rPr/>
            </w:pPr>
            <w:r>
              <w:rPr/>
              <w:t>8.55</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169" w:type="dxa"/>
            <w:tcBorders/>
            <w:vAlign w:val="bottom"/>
          </w:tcPr>
          <w:p>
            <w:pPr>
              <w:pStyle w:val="TableContents"/>
              <w:bidi w:val="0"/>
              <w:spacing w:before="0" w:after="283"/>
              <w:jc w:val="right"/>
              <w:rPr/>
            </w:pPr>
            <w:r>
              <w:rPr/>
              <w:t>10,704</w:t>
            </w:r>
          </w:p>
        </w:tc>
        <w:tc>
          <w:tcPr>
            <w:tcW w:w="7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aggregate intrinsic value is calculated as the difference between the exercise price of the underlying stock options and the estimated fair value of the Company’s common stock for those stock options that had exercise prices lower than the estimated fair value of the Company’s common stock as of March 31, 2026. </w:t>
      </w:r>
    </w:p>
    <w:p>
      <w:pPr>
        <w:pStyle w:val="TextBody"/>
        <w:bidi w:val="0"/>
        <w:spacing w:before="120" w:after="0"/>
        <w:jc w:val="both"/>
        <w:rPr>
          <w:rFonts w:ascii="Times New Roman" w:hAnsi="Times New Roman"/>
          <w:sz w:val="20"/>
        </w:rPr>
      </w:pPr>
      <w:r>
        <w:rPr>
          <w:rFonts w:ascii="Times New Roman" w:hAnsi="Times New Roman"/>
          <w:sz w:val="20"/>
        </w:rPr>
        <w:t xml:space="preserve">The total fair value of options that vested during the three months ended March 31, 2025 and 2026 was $0.1 million and $0.3 million, respectively. No options were granted during the three months ended March 31, 2025. The weighted-average grant date fair value of options granted during the three months ended March 31, 2026 was $5.18. </w:t>
      </w:r>
    </w:p>
    <w:p>
      <w:pPr>
        <w:pStyle w:val="TextBody"/>
        <w:bidi w:val="0"/>
        <w:spacing w:before="120" w:after="0"/>
        <w:jc w:val="both"/>
        <w:rPr>
          <w:rFonts w:ascii="Times New Roman" w:hAnsi="Times New Roman"/>
          <w:sz w:val="20"/>
        </w:rPr>
      </w:pPr>
      <w:r>
        <w:rPr>
          <w:rFonts w:ascii="Times New Roman" w:hAnsi="Times New Roman"/>
          <w:sz w:val="20"/>
        </w:rPr>
        <w:t>As of March 31, 2026, there was $5.3 million of unrecognized stock-based compensation expense related to unvested stock options, which is expected to be recognized over a weighted-average period of 2.6 years.</w:t>
      </w:r>
    </w:p>
    <w:p>
      <w:pPr>
        <w:pStyle w:val="TextBody"/>
        <w:bidi w:val="0"/>
        <w:spacing w:before="360" w:after="0"/>
        <w:jc w:val="left"/>
        <w:rPr>
          <w:rFonts w:ascii="Times New Roman" w:hAnsi="Times New Roman"/>
          <w:i/>
          <w:sz w:val="20"/>
        </w:rPr>
      </w:pPr>
      <w:r>
        <w:rPr>
          <w:rFonts w:ascii="Times New Roman" w:hAnsi="Times New Roman"/>
          <w:i/>
          <w:sz w:val="20"/>
        </w:rPr>
        <w:t xml:space="preserve">RSAs </w:t>
      </w:r>
    </w:p>
    <w:p>
      <w:pPr>
        <w:pStyle w:val="TextBody"/>
        <w:bidi w:val="0"/>
        <w:spacing w:before="120" w:after="0"/>
        <w:jc w:val="both"/>
        <w:rPr>
          <w:rFonts w:ascii="Times New Roman" w:hAnsi="Times New Roman"/>
          <w:sz w:val="20"/>
        </w:rPr>
      </w:pPr>
      <w:r>
        <w:rPr>
          <w:rFonts w:ascii="Times New Roman" w:hAnsi="Times New Roman"/>
          <w:sz w:val="20"/>
        </w:rPr>
        <w:t xml:space="preserve">In April 2023, the Company entered into restricted stock agreements with its management and employees, outside of the 2023 Plan, to grant 1,001,070 shares of restricted stock awards at a purchase price of $0.0009 per share, with an estimated grant date fair value of $2.69 per share. </w:t>
      </w:r>
    </w:p>
    <w:p>
      <w:pPr>
        <w:pStyle w:val="TextBody"/>
        <w:bidi w:val="0"/>
        <w:spacing w:before="120" w:after="0"/>
        <w:jc w:val="both"/>
        <w:rPr>
          <w:rFonts w:ascii="Times New Roman" w:hAnsi="Times New Roman"/>
          <w:sz w:val="20"/>
        </w:rPr>
      </w:pPr>
      <w:r>
        <w:rPr>
          <w:rFonts w:ascii="Times New Roman" w:hAnsi="Times New Roman"/>
          <w:sz w:val="20"/>
        </w:rPr>
        <w:t xml:space="preserve">The restricted stock awards vest over a four-year period starting on the grant date and have a one-year cliff vesting period. In the event the employees’ services are terminated, the Company reserves the right to repurchase unvested shares at the original purchase price, adjusted for any stock dividends, stock splits, reverse stock splits, or recapitalizations of the Company’s common stock occurring after the effective date of the applicable restricted stock agreement. </w:t>
      </w:r>
    </w:p>
    <w:p>
      <w:pPr>
        <w:pStyle w:val="TextBody"/>
        <w:bidi w:val="0"/>
        <w:spacing w:before="120" w:after="0"/>
        <w:jc w:val="both"/>
        <w:rPr>
          <w:rFonts w:ascii="Times New Roman" w:hAnsi="Times New Roman"/>
          <w:sz w:val="20"/>
        </w:rPr>
      </w:pPr>
      <w:r>
        <w:rPr>
          <w:rFonts w:ascii="Times New Roman" w:hAnsi="Times New Roman"/>
          <w:sz w:val="20"/>
        </w:rPr>
        <w:t>The restricted stock awards were accounted for as a compensatory arrangement under ASC Topic 718</w:t>
      </w:r>
      <w:r>
        <w:rPr>
          <w:rFonts w:ascii="Times New Roman" w:hAnsi="Times New Roman"/>
          <w:i/>
          <w:sz w:val="20"/>
        </w:rPr>
        <w:t>, Compensation-Stock Compensation</w:t>
      </w:r>
      <w:r>
        <w:rPr>
          <w:rFonts w:ascii="Times New Roman" w:hAnsi="Times New Roman"/>
          <w:sz w:val="20"/>
        </w:rPr>
        <w:t xml:space="preserve">. Shares purchased pursuant to these restricted stock awards participate in dividends and voting, are legally outstanding, and are presented as outstanding shares. </w:t>
      </w:r>
    </w:p>
    <w:p>
      <w:pPr>
        <w:pStyle w:val="TextBody"/>
        <w:bidi w:val="0"/>
        <w:spacing w:before="120" w:after="0"/>
        <w:jc w:val="both"/>
        <w:rPr>
          <w:rFonts w:ascii="Times New Roman" w:hAnsi="Times New Roman"/>
          <w:sz w:val="20"/>
        </w:rPr>
      </w:pPr>
      <w:r>
        <w:rPr>
          <w:rFonts w:ascii="Times New Roman" w:hAnsi="Times New Roman"/>
          <w:sz w:val="20"/>
        </w:rPr>
        <w:t xml:space="preserve">The stock-based compensation expense related to the restricted stock awards was $0.2 million for the three months ended March 31, 2025 and 2026, of which $0.1 million was recorded in research and development and $0.1 million in general and administrative expenses on the condensed consolidated statements of operations and comprehensive loss. Fair value of shares vested during the three months ended March 31, 2025 and 2026 was $0.2 million. </w:t>
      </w:r>
    </w:p>
    <w:p>
      <w:pPr>
        <w:pStyle w:val="TextBody"/>
        <w:bidi w:val="0"/>
        <w:spacing w:before="120" w:after="0"/>
        <w:jc w:val="both"/>
        <w:rPr>
          <w:rFonts w:ascii="Times New Roman" w:hAnsi="Times New Roman"/>
          <w:sz w:val="20"/>
        </w:rPr>
      </w:pPr>
      <w:r>
        <w:rPr>
          <w:rFonts w:ascii="Times New Roman" w:hAnsi="Times New Roman"/>
          <w:sz w:val="20"/>
        </w:rPr>
        <w:t xml:space="preserve">Activity with respect to restricted stock awards was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28"/>
        <w:gridCol w:w="506"/>
        <w:gridCol w:w="101"/>
        <w:gridCol w:w="1471"/>
        <w:gridCol w:w="155"/>
        <w:gridCol w:w="506"/>
        <w:gridCol w:w="285"/>
        <w:gridCol w:w="939"/>
        <w:gridCol w:w="64"/>
      </w:tblGrid>
      <w:tr>
        <w:trPr/>
        <w:tc>
          <w:tcPr>
            <w:tcW w:w="3728" w:type="dxa"/>
            <w:tcBorders/>
            <w:vAlign w:val="center"/>
          </w:tcPr>
          <w:p>
            <w:pPr>
              <w:pStyle w:val="TableContents"/>
              <w:bidi w:val="0"/>
              <w:spacing w:before="0" w:after="283"/>
              <w:jc w:val="left"/>
              <w:rPr>
                <w:sz w:val="4"/>
                <w:szCs w:val="4"/>
              </w:rPr>
            </w:pPr>
            <w:r>
              <w:rPr>
                <w:sz w:val="4"/>
                <w:szCs w:val="4"/>
              </w:rPr>
            </w:r>
          </w:p>
        </w:tc>
        <w:tc>
          <w:tcPr>
            <w:tcW w:w="506"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06"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728" w:type="dxa"/>
            <w:tcBorders/>
            <w:vAlign w:val="bottom"/>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15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Restricted</w:t>
              <w:br/>
              <w:t>Stock Awards</w:t>
            </w:r>
          </w:p>
        </w:tc>
        <w:tc>
          <w:tcPr>
            <w:tcW w:w="155" w:type="dxa"/>
            <w:tcBorders/>
            <w:vAlign w:val="bottom"/>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12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Grant Date</w:t>
              <w:br/>
              <w:t>Fair Value</w:t>
            </w:r>
          </w:p>
        </w:tc>
        <w:tc>
          <w:tcPr>
            <w:tcW w:w="64" w:type="dxa"/>
            <w:tcBorders/>
            <w:vAlign w:val="bottom"/>
          </w:tcPr>
          <w:p>
            <w:pPr>
              <w:pStyle w:val="TableContents"/>
              <w:bidi w:val="0"/>
              <w:spacing w:before="0" w:after="283"/>
              <w:jc w:val="left"/>
              <w:rPr/>
            </w:pPr>
            <w:r>
              <w:rPr/>
              <w:t> </w:t>
            </w:r>
          </w:p>
        </w:tc>
      </w:tr>
      <w:tr>
        <w:trPr/>
        <w:tc>
          <w:tcPr>
            <w:tcW w:w="37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at January 1, 2026</w:t>
            </w:r>
          </w:p>
        </w:tc>
        <w:tc>
          <w:tcPr>
            <w:tcW w:w="506"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pPr>
            <w:r>
              <w:rPr/>
              <w:t>333,678</w:t>
            </w:r>
          </w:p>
        </w:tc>
        <w:tc>
          <w:tcPr>
            <w:tcW w:w="155"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939" w:type="dxa"/>
            <w:tcBorders/>
            <w:shd w:fill="CCEEFF" w:val="clear"/>
            <w:vAlign w:val="bottom"/>
          </w:tcPr>
          <w:p>
            <w:pPr>
              <w:pStyle w:val="TableContents"/>
              <w:bidi w:val="0"/>
              <w:spacing w:before="0" w:after="283"/>
              <w:jc w:val="right"/>
              <w:rPr/>
            </w:pPr>
            <w:r>
              <w:rPr/>
              <w:t>2.69</w:t>
            </w:r>
          </w:p>
        </w:tc>
        <w:tc>
          <w:tcPr>
            <w:tcW w:w="64" w:type="dxa"/>
            <w:tcBorders/>
            <w:shd w:fill="CCEEFF" w:val="clear"/>
            <w:vAlign w:val="bottom"/>
          </w:tcPr>
          <w:p>
            <w:pPr>
              <w:pStyle w:val="TableContents"/>
              <w:bidi w:val="0"/>
              <w:spacing w:before="0" w:after="283"/>
              <w:jc w:val="left"/>
              <w:rPr/>
            </w:pPr>
            <w:r>
              <w:rPr/>
              <w:t> </w:t>
            </w:r>
          </w:p>
        </w:tc>
      </w:tr>
      <w:tr>
        <w:trPr/>
        <w:tc>
          <w:tcPr>
            <w:tcW w:w="3728" w:type="dxa"/>
            <w:tcBorders/>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506"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right"/>
              <w:rPr/>
            </w:pPr>
            <w:r>
              <w:rPr/>
              <w:t>(62,568</w:t>
            </w:r>
          </w:p>
        </w:tc>
        <w:tc>
          <w:tcPr>
            <w:tcW w:w="155" w:type="dxa"/>
            <w:tcBorders/>
            <w:vAlign w:val="bottom"/>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w:t>
            </w:r>
          </w:p>
        </w:tc>
        <w:tc>
          <w:tcPr>
            <w:tcW w:w="939" w:type="dxa"/>
            <w:tcBorders/>
            <w:vAlign w:val="bottom"/>
          </w:tcPr>
          <w:p>
            <w:pPr>
              <w:pStyle w:val="TableContents"/>
              <w:bidi w:val="0"/>
              <w:spacing w:before="0" w:after="283"/>
              <w:jc w:val="right"/>
              <w:rPr/>
            </w:pPr>
            <w:r>
              <w:rPr/>
              <w:t>2.69</w:t>
            </w:r>
          </w:p>
        </w:tc>
        <w:tc>
          <w:tcPr>
            <w:tcW w:w="64" w:type="dxa"/>
            <w:tcBorders/>
            <w:vAlign w:val="bottom"/>
          </w:tcPr>
          <w:p>
            <w:pPr>
              <w:pStyle w:val="TableContents"/>
              <w:bidi w:val="0"/>
              <w:spacing w:before="0" w:after="283"/>
              <w:jc w:val="left"/>
              <w:rPr/>
            </w:pPr>
            <w:r>
              <w:rPr/>
              <w:t> </w:t>
            </w:r>
          </w:p>
        </w:tc>
      </w:tr>
      <w:tr>
        <w:trPr/>
        <w:tc>
          <w:tcPr>
            <w:tcW w:w="3728" w:type="dxa"/>
            <w:tcBorders/>
            <w:vAlign w:val="bottom"/>
          </w:tcPr>
          <w:p>
            <w:pPr>
              <w:pStyle w:val="TableContents"/>
              <w:bidi w:val="0"/>
              <w:spacing w:before="0" w:after="283"/>
              <w:jc w:val="left"/>
              <w:rPr>
                <w:sz w:val="4"/>
                <w:szCs w:val="4"/>
              </w:rPr>
            </w:pPr>
            <w:r>
              <w:rPr>
                <w:sz w:val="4"/>
                <w:szCs w:val="4"/>
              </w:rPr>
            </w:r>
          </w:p>
        </w:tc>
        <w:tc>
          <w:tcPr>
            <w:tcW w:w="506"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14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285" w:type="dxa"/>
            <w:tcBorders/>
            <w:vAlign w:val="bottom"/>
          </w:tcPr>
          <w:p>
            <w:pPr>
              <w:pStyle w:val="TableContents"/>
              <w:pBdr>
                <w:top w:val="single" w:sz="2" w:space="1" w:color="000000"/>
              </w:pBdr>
              <w:bidi w:val="0"/>
              <w:spacing w:before="0" w:after="0"/>
              <w:jc w:val="left"/>
              <w:rPr/>
            </w:pPr>
            <w:r>
              <w:rPr/>
              <w:t> </w:t>
            </w:r>
          </w:p>
        </w:tc>
        <w:tc>
          <w:tcPr>
            <w:tcW w:w="93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at March 31, 2026</w:t>
            </w:r>
          </w:p>
        </w:tc>
        <w:tc>
          <w:tcPr>
            <w:tcW w:w="506"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pPr>
            <w:r>
              <w:rPr/>
              <w:t>271,110</w:t>
            </w:r>
          </w:p>
        </w:tc>
        <w:tc>
          <w:tcPr>
            <w:tcW w:w="155"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939" w:type="dxa"/>
            <w:tcBorders/>
            <w:shd w:fill="CCEEFF" w:val="clear"/>
            <w:vAlign w:val="bottom"/>
          </w:tcPr>
          <w:p>
            <w:pPr>
              <w:pStyle w:val="TableContents"/>
              <w:bidi w:val="0"/>
              <w:spacing w:before="0" w:after="283"/>
              <w:jc w:val="right"/>
              <w:rPr/>
            </w:pPr>
            <w:r>
              <w:rPr/>
              <w:t>2.69</w:t>
            </w:r>
          </w:p>
        </w:tc>
        <w:tc>
          <w:tcPr>
            <w:tcW w:w="64" w:type="dxa"/>
            <w:tcBorders/>
            <w:shd w:fill="CCEEFF" w:val="clear"/>
            <w:vAlign w:val="bottom"/>
          </w:tcPr>
          <w:p>
            <w:pPr>
              <w:pStyle w:val="TableContents"/>
              <w:bidi w:val="0"/>
              <w:spacing w:before="0" w:after="283"/>
              <w:jc w:val="left"/>
              <w:rPr/>
            </w:pPr>
            <w:r>
              <w:rPr/>
              <w:t> </w:t>
            </w:r>
          </w:p>
        </w:tc>
      </w:tr>
      <w:tr>
        <w:trPr/>
        <w:tc>
          <w:tcPr>
            <w:tcW w:w="3728" w:type="dxa"/>
            <w:tcBorders/>
            <w:vAlign w:val="bottom"/>
          </w:tcPr>
          <w:p>
            <w:pPr>
              <w:pStyle w:val="TableContents"/>
              <w:bidi w:val="0"/>
              <w:spacing w:before="0" w:after="283"/>
              <w:jc w:val="left"/>
              <w:rPr>
                <w:sz w:val="4"/>
                <w:szCs w:val="4"/>
              </w:rPr>
            </w:pPr>
            <w:r>
              <w:rPr>
                <w:sz w:val="4"/>
                <w:szCs w:val="4"/>
              </w:rPr>
            </w:r>
          </w:p>
        </w:tc>
        <w:tc>
          <w:tcPr>
            <w:tcW w:w="506"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double" w:sz="6" w:space="1" w:color="000000"/>
              </w:pBdr>
              <w:bidi w:val="0"/>
              <w:spacing w:before="0" w:after="0"/>
              <w:jc w:val="left"/>
              <w:rPr/>
            </w:pPr>
            <w:r>
              <w:rPr/>
              <w:t> </w:t>
            </w:r>
          </w:p>
        </w:tc>
        <w:tc>
          <w:tcPr>
            <w:tcW w:w="147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285" w:type="dxa"/>
            <w:tcBorders/>
            <w:vAlign w:val="bottom"/>
          </w:tcPr>
          <w:p>
            <w:pPr>
              <w:pStyle w:val="TableContents"/>
              <w:pBdr>
                <w:top w:val="double" w:sz="6" w:space="1" w:color="000000"/>
              </w:pBdr>
              <w:bidi w:val="0"/>
              <w:spacing w:before="0" w:after="0"/>
              <w:jc w:val="left"/>
              <w:rPr/>
            </w:pPr>
            <w:r>
              <w:rPr/>
              <w:t> </w:t>
            </w:r>
          </w:p>
        </w:tc>
        <w:tc>
          <w:tcPr>
            <w:tcW w:w="939"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120" w:after="0"/>
        <w:jc w:val="both"/>
        <w:rPr>
          <w:rFonts w:ascii="Times New Roman" w:hAnsi="Times New Roman"/>
          <w:sz w:val="20"/>
        </w:rPr>
      </w:pPr>
      <w:r>
        <w:rPr>
          <w:rFonts w:ascii="Times New Roman" w:hAnsi="Times New Roman"/>
          <w:sz w:val="20"/>
        </w:rPr>
        <w:t xml:space="preserve">As of March 31, 2026, there was $0.7 million of unrecognized stock-based compensation expense related to unvested restricted stock awards, which is expected to be recognized over a weighted-average period of 1.1 years. No restricted stock awards were repurchased or cancelled during the three months ended March 31, 2025 and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Stock-Based Compensation Expense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presents the classification of stock-based compensation expense related to awards granted to employees and non-employees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36"/>
        <w:gridCol w:w="436"/>
        <w:gridCol w:w="253"/>
        <w:gridCol w:w="691"/>
        <w:gridCol w:w="108"/>
        <w:gridCol w:w="520"/>
        <w:gridCol w:w="253"/>
        <w:gridCol w:w="694"/>
        <w:gridCol w:w="64"/>
      </w:tblGrid>
      <w:tr>
        <w:trPr/>
        <w:tc>
          <w:tcPr>
            <w:tcW w:w="4736" w:type="dxa"/>
            <w:tcBorders/>
            <w:vAlign w:val="center"/>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73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251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r>
          </w:p>
        </w:tc>
        <w:tc>
          <w:tcPr>
            <w:tcW w:w="64" w:type="dxa"/>
            <w:tcBorders/>
            <w:vAlign w:val="bottom"/>
          </w:tcPr>
          <w:p>
            <w:pPr>
              <w:pStyle w:val="TableContents"/>
              <w:bidi w:val="0"/>
              <w:spacing w:before="0" w:after="283"/>
              <w:jc w:val="left"/>
              <w:rPr/>
            </w:pPr>
            <w:r>
              <w:rPr/>
              <w:t> </w:t>
            </w:r>
          </w:p>
        </w:tc>
      </w:tr>
      <w:tr>
        <w:trPr/>
        <w:tc>
          <w:tcPr>
            <w:tcW w:w="473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08"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pPr>
            <w:r>
              <w:rPr/>
              <w:t>  </w:t>
            </w:r>
          </w:p>
        </w:tc>
        <w:tc>
          <w:tcPr>
            <w:tcW w:w="9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4" w:type="dxa"/>
            <w:tcBorders/>
            <w:vAlign w:val="bottom"/>
          </w:tcPr>
          <w:p>
            <w:pPr>
              <w:pStyle w:val="TableContents"/>
              <w:bidi w:val="0"/>
              <w:spacing w:before="0" w:after="283"/>
              <w:jc w:val="left"/>
              <w:rPr/>
            </w:pPr>
            <w:r>
              <w:rPr/>
              <w:t> </w:t>
            </w:r>
          </w:p>
        </w:tc>
      </w:tr>
      <w:tr>
        <w:trPr/>
        <w:tc>
          <w:tcPr>
            <w:tcW w:w="47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43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154</w:t>
            </w:r>
          </w:p>
        </w:tc>
        <w:tc>
          <w:tcPr>
            <w:tcW w:w="108"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239</w:t>
            </w:r>
          </w:p>
        </w:tc>
        <w:tc>
          <w:tcPr>
            <w:tcW w:w="64" w:type="dxa"/>
            <w:tcBorders/>
            <w:shd w:fill="CCEEFF" w:val="clear"/>
            <w:vAlign w:val="bottom"/>
          </w:tcPr>
          <w:p>
            <w:pPr>
              <w:pStyle w:val="TableContents"/>
              <w:bidi w:val="0"/>
              <w:spacing w:before="0" w:after="283"/>
              <w:jc w:val="left"/>
              <w:rPr/>
            </w:pPr>
            <w:r>
              <w:rPr/>
              <w:t> </w:t>
            </w:r>
          </w:p>
        </w:tc>
      </w:tr>
      <w:tr>
        <w:trPr/>
        <w:tc>
          <w:tcPr>
            <w:tcW w:w="4736"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436"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308</w:t>
            </w:r>
          </w:p>
        </w:tc>
        <w:tc>
          <w:tcPr>
            <w:tcW w:w="108"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447</w:t>
            </w:r>
          </w:p>
        </w:tc>
        <w:tc>
          <w:tcPr>
            <w:tcW w:w="64" w:type="dxa"/>
            <w:tcBorders/>
            <w:vAlign w:val="bottom"/>
          </w:tcPr>
          <w:p>
            <w:pPr>
              <w:pStyle w:val="TableContents"/>
              <w:bidi w:val="0"/>
              <w:spacing w:before="0" w:after="283"/>
              <w:jc w:val="left"/>
              <w:rPr/>
            </w:pPr>
            <w:r>
              <w:rPr/>
              <w:t> </w:t>
            </w:r>
          </w:p>
        </w:tc>
      </w:tr>
      <w:tr>
        <w:trPr/>
        <w:tc>
          <w:tcPr>
            <w:tcW w:w="4736" w:type="dxa"/>
            <w:tcBorders/>
            <w:vAlign w:val="bottom"/>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691" w:type="dxa"/>
            <w:tcBorders/>
            <w:vAlign w:val="bottom"/>
          </w:tcPr>
          <w:p>
            <w:pPr>
              <w:pStyle w:val="TableContents"/>
              <w:pBdr>
                <w:top w:val="single" w:sz="2" w:space="1" w:color="000000"/>
              </w:pBdr>
              <w:bidi w:val="0"/>
              <w:spacing w:before="0" w:after="0"/>
              <w:jc w:val="left"/>
              <w:rPr/>
            </w:pPr>
            <w:r>
              <w:rPr/>
              <w:t> </w:t>
            </w:r>
          </w:p>
        </w:tc>
        <w:tc>
          <w:tcPr>
            <w:tcW w:w="108" w:type="dxa"/>
            <w:tcBorders/>
            <w:vAlign w:val="center"/>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7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stock-based compensation expense</w:t>
            </w:r>
          </w:p>
        </w:tc>
        <w:tc>
          <w:tcPr>
            <w:tcW w:w="43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462</w:t>
            </w:r>
          </w:p>
        </w:tc>
        <w:tc>
          <w:tcPr>
            <w:tcW w:w="108"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686</w:t>
            </w:r>
          </w:p>
        </w:tc>
        <w:tc>
          <w:tcPr>
            <w:tcW w:w="64" w:type="dxa"/>
            <w:tcBorders/>
            <w:shd w:fill="CCEEFF" w:val="clear"/>
            <w:vAlign w:val="bottom"/>
          </w:tcPr>
          <w:p>
            <w:pPr>
              <w:pStyle w:val="TableContents"/>
              <w:bidi w:val="0"/>
              <w:spacing w:before="0" w:after="283"/>
              <w:jc w:val="left"/>
              <w:rPr/>
            </w:pPr>
            <w:r>
              <w:rPr/>
              <w:t> </w:t>
            </w:r>
          </w:p>
        </w:tc>
      </w:tr>
      <w:tr>
        <w:trPr/>
        <w:tc>
          <w:tcPr>
            <w:tcW w:w="4736" w:type="dxa"/>
            <w:tcBorders/>
            <w:vAlign w:val="bottom"/>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691" w:type="dxa"/>
            <w:tcBorders/>
            <w:vAlign w:val="bottom"/>
          </w:tcPr>
          <w:p>
            <w:pPr>
              <w:pStyle w:val="TableContents"/>
              <w:pBdr>
                <w:top w:val="double" w:sz="6" w:space="1" w:color="000000"/>
              </w:pBdr>
              <w:bidi w:val="0"/>
              <w:spacing w:before="0" w:after="0"/>
              <w:jc w:val="left"/>
              <w:rPr/>
            </w:pPr>
            <w:r>
              <w:rPr/>
              <w:t> </w:t>
            </w:r>
          </w:p>
        </w:tc>
        <w:tc>
          <w:tcPr>
            <w:tcW w:w="108" w:type="dxa"/>
            <w:tcBorders/>
            <w:vAlign w:val="center"/>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694"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Company estimated the fair value of stock options using the Black-Scholes option-pricing model. The fair value of stock options is being amortized on a straight-line basis over the requisite service period of the awards. The fair value of stock options granted was estimated using the following weighted-average assumptions: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280"/>
        <w:gridCol w:w="387"/>
        <w:gridCol w:w="60"/>
        <w:gridCol w:w="1930"/>
        <w:gridCol w:w="282"/>
      </w:tblGrid>
      <w:tr>
        <w:trPr/>
        <w:tc>
          <w:tcPr>
            <w:tcW w:w="4280" w:type="dxa"/>
            <w:tcBorders/>
            <w:vAlign w:val="center"/>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428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19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March 31,</w:t>
              <w:br/>
              <w:t>2026</w:t>
            </w:r>
          </w:p>
        </w:tc>
        <w:tc>
          <w:tcPr>
            <w:tcW w:w="282" w:type="dxa"/>
            <w:tcBorders/>
            <w:vAlign w:val="bottom"/>
          </w:tcPr>
          <w:p>
            <w:pPr>
              <w:pStyle w:val="TableContents"/>
              <w:bidi w:val="0"/>
              <w:spacing w:before="0" w:after="283"/>
              <w:jc w:val="left"/>
              <w:rPr/>
            </w:pPr>
            <w:r>
              <w:rPr/>
              <w:t> </w:t>
            </w:r>
          </w:p>
        </w:tc>
      </w:tr>
      <w:tr>
        <w:trPr/>
        <w:tc>
          <w:tcPr>
            <w:tcW w:w="4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3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0" w:type="dxa"/>
            <w:tcBorders/>
            <w:shd w:fill="CCEEFF" w:val="clear"/>
            <w:vAlign w:val="bottom"/>
          </w:tcPr>
          <w:p>
            <w:pPr>
              <w:pStyle w:val="TableContents"/>
              <w:bidi w:val="0"/>
              <w:spacing w:before="0" w:after="283"/>
              <w:jc w:val="right"/>
              <w:rPr/>
            </w:pPr>
            <w:r>
              <w:rPr/>
              <w:t>69.25% - 69.45</w:t>
            </w:r>
          </w:p>
        </w:tc>
        <w:tc>
          <w:tcPr>
            <w:tcW w:w="282" w:type="dxa"/>
            <w:tcBorders/>
            <w:shd w:fill="CCEEFF" w:val="clear"/>
            <w:vAlign w:val="bottom"/>
          </w:tcPr>
          <w:p>
            <w:pPr>
              <w:pStyle w:val="TableContents"/>
              <w:bidi w:val="0"/>
              <w:spacing w:before="0" w:after="283"/>
              <w:jc w:val="left"/>
              <w:rPr/>
            </w:pPr>
            <w:r>
              <w:rPr/>
              <w:t>% </w:t>
            </w:r>
          </w:p>
        </w:tc>
      </w:tr>
      <w:tr>
        <w:trPr/>
        <w:tc>
          <w:tcPr>
            <w:tcW w:w="4280"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3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0" w:type="dxa"/>
            <w:tcBorders/>
            <w:vAlign w:val="bottom"/>
          </w:tcPr>
          <w:p>
            <w:pPr>
              <w:pStyle w:val="TableContents"/>
              <w:bidi w:val="0"/>
              <w:spacing w:before="0" w:after="283"/>
              <w:jc w:val="right"/>
              <w:rPr/>
            </w:pPr>
            <w:r>
              <w:rPr/>
              <w:t>0</w:t>
            </w:r>
          </w:p>
        </w:tc>
        <w:tc>
          <w:tcPr>
            <w:tcW w:w="282" w:type="dxa"/>
            <w:tcBorders/>
            <w:vAlign w:val="bottom"/>
          </w:tcPr>
          <w:p>
            <w:pPr>
              <w:pStyle w:val="TableContents"/>
              <w:bidi w:val="0"/>
              <w:spacing w:before="0" w:after="283"/>
              <w:jc w:val="left"/>
              <w:rPr/>
            </w:pPr>
            <w:r>
              <w:rPr/>
              <w:t>% </w:t>
            </w:r>
          </w:p>
        </w:tc>
      </w:tr>
      <w:tr>
        <w:trPr/>
        <w:tc>
          <w:tcPr>
            <w:tcW w:w="4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term (in years)</w:t>
            </w:r>
          </w:p>
        </w:tc>
        <w:tc>
          <w:tcPr>
            <w:tcW w:w="3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0" w:type="dxa"/>
            <w:tcBorders/>
            <w:shd w:fill="CCEEFF" w:val="clear"/>
            <w:vAlign w:val="bottom"/>
          </w:tcPr>
          <w:p>
            <w:pPr>
              <w:pStyle w:val="TableContents"/>
              <w:bidi w:val="0"/>
              <w:spacing w:before="0" w:after="283"/>
              <w:jc w:val="right"/>
              <w:rPr/>
            </w:pPr>
            <w:r>
              <w:rPr/>
              <w:t>5.96 - 6.05</w:t>
            </w:r>
          </w:p>
        </w:tc>
        <w:tc>
          <w:tcPr>
            <w:tcW w:w="282" w:type="dxa"/>
            <w:tcBorders/>
            <w:shd w:fill="CCEEFF" w:val="clear"/>
            <w:vAlign w:val="bottom"/>
          </w:tcPr>
          <w:p>
            <w:pPr>
              <w:pStyle w:val="TableContents"/>
              <w:bidi w:val="0"/>
              <w:spacing w:before="0" w:after="283"/>
              <w:jc w:val="left"/>
              <w:rPr/>
            </w:pPr>
            <w:r>
              <w:rPr/>
              <w:t> </w:t>
            </w:r>
          </w:p>
        </w:tc>
      </w:tr>
      <w:tr>
        <w:trPr/>
        <w:tc>
          <w:tcPr>
            <w:tcW w:w="4280" w:type="dxa"/>
            <w:tcBorders/>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3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0" w:type="dxa"/>
            <w:tcBorders/>
            <w:vAlign w:val="bottom"/>
          </w:tcPr>
          <w:p>
            <w:pPr>
              <w:pStyle w:val="TableContents"/>
              <w:bidi w:val="0"/>
              <w:spacing w:before="0" w:after="283"/>
              <w:jc w:val="right"/>
              <w:rPr/>
            </w:pPr>
            <w:r>
              <w:rPr/>
              <w:t>3.62% - 3.82</w:t>
            </w:r>
          </w:p>
        </w:tc>
        <w:tc>
          <w:tcPr>
            <w:tcW w:w="282" w:type="dxa"/>
            <w:tcBorders/>
            <w:vAlign w:val="bottom"/>
          </w:tcPr>
          <w:p>
            <w:pPr>
              <w:pStyle w:val="TableContents"/>
              <w:bidi w:val="0"/>
              <w:spacing w:before="0" w:after="283"/>
              <w:jc w:val="left"/>
              <w:rPr/>
            </w:pPr>
            <w:r>
              <w:rPr/>
              <w:t>% </w:t>
            </w:r>
          </w:p>
        </w:tc>
      </w:tr>
      <w:tr>
        <w:trPr/>
        <w:tc>
          <w:tcPr>
            <w:tcW w:w="4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common stock</w:t>
            </w:r>
          </w:p>
        </w:tc>
        <w:tc>
          <w:tcPr>
            <w:tcW w:w="3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0" w:type="dxa"/>
            <w:tcBorders/>
            <w:shd w:fill="CCEEFF" w:val="clear"/>
            <w:vAlign w:val="bottom"/>
          </w:tcPr>
          <w:p>
            <w:pPr>
              <w:pStyle w:val="TableContents"/>
              <w:bidi w:val="0"/>
              <w:spacing w:before="0" w:after="283"/>
              <w:jc w:val="right"/>
              <w:rPr/>
            </w:pPr>
            <w:r>
              <w:rPr/>
              <w:t>$     7.99</w:t>
            </w:r>
          </w:p>
        </w:tc>
        <w:tc>
          <w:tcPr>
            <w:tcW w:w="282" w:type="dxa"/>
            <w:tcBorders/>
            <w:shd w:fill="CCEEFF" w:val="clear"/>
            <w:vAlign w:val="bottom"/>
          </w:tcPr>
          <w:p>
            <w:pPr>
              <w:pStyle w:val="TableContents"/>
              <w:bidi w:val="0"/>
              <w:spacing w:before="0" w:after="283"/>
              <w:jc w:val="left"/>
              <w:rPr/>
            </w:pPr>
            <w:r>
              <w:rPr/>
              <w:t>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assumptions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i/>
                <w:sz w:val="20"/>
              </w:rPr>
              <w:t xml:space="preserve">Expected volatility. </w:t>
            </w:r>
            <w:r>
              <w:rPr>
                <w:rFonts w:ascii="Times New Roman" w:hAnsi="Times New Roman"/>
                <w:sz w:val="20"/>
              </w:rPr>
              <w:t xml:space="preserve">The expected stock price volatility assumption was determined by examining the historical volatilities for industry peers, as the Company did not have any trading history for the Company’s common stock. The Company will continue to analyze the historical stock price volatility and expected term assumption as more historical data for the Company’s common stock becomes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i/>
                <w:sz w:val="20"/>
              </w:rPr>
              <w:t>Expected dividend yield</w:t>
            </w:r>
            <w:r>
              <w:rPr>
                <w:rFonts w:ascii="Times New Roman" w:hAnsi="Times New Roman"/>
                <w:sz w:val="20"/>
              </w:rPr>
              <w:t xml:space="preserve">. The expected dividend is assumed to be zero as dividends have never been paid and there are no current plans to pay dividends on common stock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Expected term.</w:t>
            </w:r>
            <w:r>
              <w:rPr>
                <w:rFonts w:ascii="Times New Roman" w:hAnsi="Times New Roman"/>
                <w:sz w:val="20"/>
              </w:rPr>
              <w:t xml:space="preserve"> The expected term represents the weighted-average period the stock options are expected to remain outstanding and is based on the options’ vesting terms and contractual terms as the Company does not have sufficient historical information to develop reasonable expectations about future exercise patterns and post-vesting employment termination behavior.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i/>
                <w:sz w:val="20"/>
              </w:rPr>
              <w:t xml:space="preserve">Risk-free interest rate. </w:t>
            </w:r>
            <w:r>
              <w:rPr>
                <w:rFonts w:ascii="Times New Roman" w:hAnsi="Times New Roman"/>
                <w:sz w:val="20"/>
              </w:rPr>
              <w:t xml:space="preserve">The risk-free interest rate is based on the U.S. Treasury yield with a maturity equal to the expected term of the option in effect at the time of grant.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Fair value of common stock</w:t>
            </w:r>
            <w:r>
              <w:rPr>
                <w:rFonts w:ascii="Times New Roman" w:hAnsi="Times New Roman"/>
                <w:sz w:val="20"/>
              </w:rPr>
              <w:t xml:space="preserve">. The fair value of the Company’s common stock is determined by its board of directors with input from management and third-party valuation specialists. The Company’s approach to estimate the fair value of the Company’s common stock is consistent with the methods outlined in the American Institute of Certified Public Accountants Practice Aid, Valuation of Privately-Held-Company Equity Securities Issued as Compensation. Determining the best estimated fair value of the Company’s common stock requires significant judgment and management considers several factors, including the Company’s stage of development, equity market conditions affecting comparable public companies, significant milestones and progress of research and development efforts.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Company utilized a hybrid method that combines the Probability-Weighted Expected Return Method (“PWERM”), an accepted valuation method described in the Practice Aid, and the Option Pricing Method (“OPM”). The PWERM contemplated a scenario in which the Company remained private with an uncertain future exit and scenario(s) in which the Company exited via initial public offering (“IPO”). For the scenario in which the Company remained private, the Company utilized the OPM, primarily the OPM backsolve methodology. The Company determined this was the most appropriate method for determining the fair value of its common stock based on the stage of development and other relevant factors. </w:t>
      </w:r>
    </w:p>
    <w:p>
      <w:pPr>
        <w:pStyle w:val="TextBody"/>
        <w:bidi w:val="0"/>
        <w:spacing w:before="120" w:after="0"/>
        <w:jc w:val="both"/>
        <w:rPr>
          <w:rFonts w:ascii="Times New Roman" w:hAnsi="Times New Roman"/>
          <w:sz w:val="20"/>
        </w:rPr>
      </w:pPr>
      <w:r>
        <w:rPr>
          <w:rFonts w:ascii="Times New Roman" w:hAnsi="Times New Roman"/>
          <w:sz w:val="20"/>
        </w:rPr>
        <w:t xml:space="preserve">For the scenario(s) in which the Company exited via IPO, the Company utilized an analysis based on observed step-up multiples achieved at IPO for comparable public issuers in which the Company applied a step-up multiple believed to be achievable at IPO to the post-money valuation achieved by the Company in its most recent (or expected future cross-over) financing round. The resulting total equity value for the Company estimated for a scenario(s) in which the Company exited via IPO was then allocated to the Company’s share classes using a waterfall allocation analysis that treats all preferred securities as immediately converting to common stock at the time of an IPO event. </w:t>
      </w:r>
    </w:p>
    <w:p>
      <w:pPr>
        <w:pStyle w:val="TextBody"/>
        <w:bidi w:val="0"/>
        <w:spacing w:before="120" w:after="0"/>
        <w:jc w:val="both"/>
        <w:rPr>
          <w:rFonts w:ascii="Times New Roman" w:hAnsi="Times New Roman"/>
          <w:sz w:val="20"/>
        </w:rPr>
      </w:pPr>
      <w:r>
        <w:rPr>
          <w:rFonts w:ascii="Times New Roman" w:hAnsi="Times New Roman"/>
          <w:sz w:val="20"/>
        </w:rPr>
        <w:t xml:space="preserve">For the scenario(s) in which the Company remained private, the Company utilized the backsolve method to infer the total equity value implied by a recent financing transaction or by an estimated equity value of the Company’s pipeline product candidates. The backsolve method involves the construction of an allocation model that accounts for the Company’s capital structure and the rights, preferences and privileges of each class of stock, and also assumes reasonable inputs for the other OPM variables, including expected time to liquidity, volatility, and risk-free rate. The total equity value is then iterated in the model until the model output value for the equity class sold in a recent financing round equals the price paid in that round. The OPM is generally utilized when specific future liquidity events are difficult to forecast (i.e., the enterprise has many choices and options available), and the enterprise’s value depends on how well it follows an uncharted path through the various possible opportunities and challenges. </w:t>
      </w:r>
    </w:p>
    <w:p>
      <w:pPr>
        <w:pStyle w:val="TextBody"/>
        <w:bidi w:val="0"/>
        <w:spacing w:before="120" w:after="0"/>
        <w:jc w:val="both"/>
        <w:rPr>
          <w:rFonts w:ascii="Times New Roman" w:hAnsi="Times New Roman"/>
          <w:sz w:val="20"/>
        </w:rPr>
      </w:pPr>
      <w:r>
        <w:rPr>
          <w:rFonts w:ascii="Times New Roman" w:hAnsi="Times New Roman"/>
          <w:sz w:val="20"/>
        </w:rPr>
        <w:t xml:space="preserve">In determining the estimated fair value of the common stock, the Company’s board of directors also considered the fact that the stockholders could not freely trade the common stock in the public markets. Accordingly, the Company applied discounts to reflect the lack of marketability of its common stock based on the weighted-average expected time to liquidity in each of the contemplated exit scenarios. The estimated fair value of the common stock at each grant date reflected a non-marketability discount partially based on the anticipated likelihood and timing of a future liquidity event.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Alamar License Agreement </w:t>
      </w:r>
    </w:p>
    <w:p>
      <w:pPr>
        <w:pStyle w:val="TextBody"/>
        <w:bidi w:val="0"/>
        <w:spacing w:before="120" w:after="0"/>
        <w:jc w:val="both"/>
        <w:rPr>
          <w:rFonts w:ascii="Times New Roman" w:hAnsi="Times New Roman"/>
          <w:sz w:val="20"/>
        </w:rPr>
      </w:pPr>
      <w:r>
        <w:rPr>
          <w:rFonts w:ascii="Times New Roman" w:hAnsi="Times New Roman"/>
          <w:sz w:val="20"/>
        </w:rPr>
        <w:t xml:space="preserve">In June 2023, the Company issued 2,428,646 shares of its common stock to Alamar, an existing holder of the Company’s common stock, in exchange for the in-process research and development asset acquired under the Alamar Platform License Agreement (see Note 5). Alamar owned 800,632 shares of the Company’s common stock prior to this transaction, which was received by Alamar upon the Company’s incorporation in December 2022. </w:t>
      </w:r>
    </w:p>
    <w:p>
      <w:pPr>
        <w:pStyle w:val="TextBody"/>
        <w:bidi w:val="0"/>
        <w:spacing w:before="360" w:after="0"/>
        <w:jc w:val="left"/>
        <w:rPr>
          <w:rFonts w:ascii="Times New Roman" w:hAnsi="Times New Roman"/>
          <w:i/>
          <w:sz w:val="20"/>
        </w:rPr>
      </w:pPr>
      <w:r>
        <w:rPr>
          <w:rFonts w:ascii="Times New Roman" w:hAnsi="Times New Roman"/>
          <w:i/>
          <w:sz w:val="20"/>
        </w:rPr>
        <w:t xml:space="preserve">Alamar Lease Agreement </w:t>
      </w:r>
    </w:p>
    <w:p>
      <w:pPr>
        <w:pStyle w:val="TextBody"/>
        <w:bidi w:val="0"/>
        <w:spacing w:before="120" w:after="0"/>
        <w:jc w:val="both"/>
        <w:rPr>
          <w:rFonts w:ascii="Times New Roman" w:hAnsi="Times New Roman"/>
          <w:sz w:val="20"/>
        </w:rPr>
      </w:pPr>
      <w:r>
        <w:rPr>
          <w:rFonts w:ascii="Times New Roman" w:hAnsi="Times New Roman"/>
          <w:sz w:val="20"/>
        </w:rPr>
        <w:t xml:space="preserve">In June 2023, the Company entered into a lease agreement with Alamar, which was amended four times between October 2023 and October 2024, to lease approximately 10,422 square feet of office and laboratory spaces in Fremont, California.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Other Services Agreements </w:t>
      </w:r>
    </w:p>
    <w:p>
      <w:pPr>
        <w:pStyle w:val="TextBody"/>
        <w:bidi w:val="0"/>
        <w:spacing w:before="120" w:after="0"/>
        <w:jc w:val="both"/>
        <w:rPr>
          <w:rFonts w:ascii="Times New Roman" w:hAnsi="Times New Roman"/>
          <w:sz w:val="20"/>
        </w:rPr>
      </w:pPr>
      <w:r>
        <w:rPr>
          <w:rFonts w:ascii="Times New Roman" w:hAnsi="Times New Roman"/>
          <w:sz w:val="20"/>
        </w:rPr>
        <w:t xml:space="preserve">In June 2023, the Company entered into a Services Agreement (the “Services Agreement”) with Alamar, under which Alamar will provide initial clerical, executive, and administrative services. In February 2024, the Company entered into a research services agreement (together with the Services Agreement, the “Services Agreements”) for Alamar to provide certain research diagnostic services. Under both Services Agreements, the Company recognized expense of less than $0.1 million and less than $0.1 million during the three months ended March 31, 2025 and 2026, respectively, and had an accounts payable balance of less than $0.1 million as of December 31, 2025 and March 31,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Net Loss Per Share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following table sets forth the computation of basic and diluted net loss per share attributable to common stockholders (in thousands, except share and per share data):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5251"/>
        <w:gridCol w:w="424"/>
        <w:gridCol w:w="140"/>
        <w:gridCol w:w="991"/>
        <w:gridCol w:w="155"/>
        <w:gridCol w:w="424"/>
        <w:gridCol w:w="140"/>
        <w:gridCol w:w="991"/>
        <w:gridCol w:w="158"/>
      </w:tblGrid>
      <w:tr>
        <w:trPr/>
        <w:tc>
          <w:tcPr>
            <w:tcW w:w="5251" w:type="dxa"/>
            <w:tcBorders/>
            <w:vAlign w:val="center"/>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51"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2841" w:type="dxa"/>
            <w:gridSpan w:val="6"/>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March 31,</w:t>
            </w:r>
          </w:p>
        </w:tc>
        <w:tc>
          <w:tcPr>
            <w:tcW w:w="158" w:type="dxa"/>
            <w:tcBorders/>
            <w:vAlign w:val="bottom"/>
          </w:tcPr>
          <w:p>
            <w:pPr>
              <w:pStyle w:val="TableContents"/>
              <w:bidi w:val="0"/>
              <w:spacing w:before="0" w:after="283"/>
              <w:jc w:val="left"/>
              <w:rPr/>
            </w:pPr>
            <w:r>
              <w:rPr/>
              <w:t> </w:t>
            </w:r>
          </w:p>
        </w:tc>
      </w:tr>
      <w:tr>
        <w:trPr/>
        <w:tc>
          <w:tcPr>
            <w:tcW w:w="5251"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8" w:type="dxa"/>
            <w:tcBorders/>
            <w:vAlign w:val="bottom"/>
          </w:tcPr>
          <w:p>
            <w:pPr>
              <w:pStyle w:val="TableContents"/>
              <w:bidi w:val="0"/>
              <w:spacing w:before="0" w:after="283"/>
              <w:jc w:val="left"/>
              <w:rPr/>
            </w:pPr>
            <w:r>
              <w:rPr/>
              <w:t> </w:t>
            </w:r>
          </w:p>
        </w:tc>
      </w:tr>
      <w:tr>
        <w:trPr/>
        <w:tc>
          <w:tcPr>
            <w:tcW w:w="52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4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251"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4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1" w:type="dxa"/>
            <w:tcBorders/>
            <w:vAlign w:val="bottom"/>
          </w:tcPr>
          <w:p>
            <w:pPr>
              <w:pStyle w:val="TableContents"/>
              <w:bidi w:val="0"/>
              <w:spacing w:before="0" w:after="283"/>
              <w:jc w:val="right"/>
              <w:rPr/>
            </w:pPr>
            <w:r>
              <w:rPr/>
              <w:t>(15,151</w:t>
            </w:r>
          </w:p>
        </w:tc>
        <w:tc>
          <w:tcPr>
            <w:tcW w:w="155"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1" w:type="dxa"/>
            <w:tcBorders/>
            <w:vAlign w:val="bottom"/>
          </w:tcPr>
          <w:p>
            <w:pPr>
              <w:pStyle w:val="TableContents"/>
              <w:bidi w:val="0"/>
              <w:spacing w:before="0" w:after="283"/>
              <w:jc w:val="right"/>
              <w:rPr/>
            </w:pPr>
            <w:r>
              <w:rPr/>
              <w:t>(18,656</w:t>
            </w:r>
          </w:p>
        </w:tc>
        <w:tc>
          <w:tcPr>
            <w:tcW w:w="158" w:type="dxa"/>
            <w:tcBorders/>
            <w:vAlign w:val="bottom"/>
          </w:tcPr>
          <w:p>
            <w:pPr>
              <w:pStyle w:val="TableContents"/>
              <w:bidi w:val="0"/>
              <w:spacing w:before="0" w:after="283"/>
              <w:jc w:val="left"/>
              <w:rPr/>
            </w:pPr>
            <w:r>
              <w:rPr/>
              <w:t>) </w:t>
            </w:r>
          </w:p>
        </w:tc>
      </w:tr>
      <w:tr>
        <w:trPr/>
        <w:tc>
          <w:tcPr>
            <w:tcW w:w="52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Accretion of redeemable convertible preferred stock to its redemption value</w:t>
            </w:r>
          </w:p>
        </w:tc>
        <w:tc>
          <w:tcPr>
            <w:tcW w:w="4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(271</w:t>
            </w:r>
          </w:p>
        </w:tc>
        <w:tc>
          <w:tcPr>
            <w:tcW w:w="155"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5251" w:type="dxa"/>
            <w:tcBorders/>
            <w:vAlign w:val="bottom"/>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251"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4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(15,422</w:t>
            </w:r>
          </w:p>
        </w:tc>
        <w:tc>
          <w:tcPr>
            <w:tcW w:w="155"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(18,656</w:t>
            </w:r>
          </w:p>
        </w:tc>
        <w:tc>
          <w:tcPr>
            <w:tcW w:w="158" w:type="dxa"/>
            <w:tcBorders/>
            <w:vAlign w:val="bottom"/>
          </w:tcPr>
          <w:p>
            <w:pPr>
              <w:pStyle w:val="TableContents"/>
              <w:bidi w:val="0"/>
              <w:spacing w:before="0" w:after="283"/>
              <w:jc w:val="left"/>
              <w:rPr/>
            </w:pPr>
            <w:r>
              <w:rPr/>
              <w:t>) </w:t>
            </w:r>
          </w:p>
        </w:tc>
      </w:tr>
      <w:tr>
        <w:trPr/>
        <w:tc>
          <w:tcPr>
            <w:tcW w:w="52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4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251"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w:t>
            </w:r>
          </w:p>
        </w:tc>
        <w:tc>
          <w:tcPr>
            <w:tcW w:w="4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4,435,674</w:t>
            </w:r>
          </w:p>
        </w:tc>
        <w:tc>
          <w:tcPr>
            <w:tcW w:w="155"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4,507,771</w:t>
            </w:r>
          </w:p>
        </w:tc>
        <w:tc>
          <w:tcPr>
            <w:tcW w:w="158" w:type="dxa"/>
            <w:tcBorders/>
            <w:vAlign w:val="bottom"/>
          </w:tcPr>
          <w:p>
            <w:pPr>
              <w:pStyle w:val="TableContents"/>
              <w:bidi w:val="0"/>
              <w:spacing w:before="0" w:after="283"/>
              <w:jc w:val="left"/>
              <w:rPr/>
            </w:pPr>
            <w:r>
              <w:rPr/>
              <w:t> </w:t>
            </w:r>
          </w:p>
        </w:tc>
      </w:tr>
      <w:tr>
        <w:trPr/>
        <w:tc>
          <w:tcPr>
            <w:tcW w:w="52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Weighted-average common shares subject to repurchase</w:t>
            </w:r>
          </w:p>
        </w:tc>
        <w:tc>
          <w:tcPr>
            <w:tcW w:w="4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(628,952</w:t>
            </w:r>
          </w:p>
        </w:tc>
        <w:tc>
          <w:tcPr>
            <w:tcW w:w="155"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(354,604</w:t>
            </w:r>
          </w:p>
        </w:tc>
        <w:tc>
          <w:tcPr>
            <w:tcW w:w="158" w:type="dxa"/>
            <w:tcBorders/>
            <w:shd w:fill="CCEEFF" w:val="clear"/>
            <w:vAlign w:val="bottom"/>
          </w:tcPr>
          <w:p>
            <w:pPr>
              <w:pStyle w:val="TableContents"/>
              <w:bidi w:val="0"/>
              <w:spacing w:before="0" w:after="283"/>
              <w:jc w:val="left"/>
              <w:rPr/>
            </w:pPr>
            <w:r>
              <w:rPr/>
              <w:t>) </w:t>
            </w:r>
          </w:p>
        </w:tc>
      </w:tr>
      <w:tr>
        <w:trPr/>
        <w:tc>
          <w:tcPr>
            <w:tcW w:w="5251" w:type="dxa"/>
            <w:tcBorders/>
            <w:vAlign w:val="bottom"/>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251"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shares used in computing basic and diluted net loss per share</w:t>
            </w:r>
          </w:p>
        </w:tc>
        <w:tc>
          <w:tcPr>
            <w:tcW w:w="4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3,806,722</w:t>
            </w:r>
          </w:p>
        </w:tc>
        <w:tc>
          <w:tcPr>
            <w:tcW w:w="155"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4,153,167</w:t>
            </w:r>
          </w:p>
        </w:tc>
        <w:tc>
          <w:tcPr>
            <w:tcW w:w="158" w:type="dxa"/>
            <w:tcBorders/>
            <w:vAlign w:val="bottom"/>
          </w:tcPr>
          <w:p>
            <w:pPr>
              <w:pStyle w:val="TableContents"/>
              <w:bidi w:val="0"/>
              <w:spacing w:before="0" w:after="283"/>
              <w:jc w:val="left"/>
              <w:rPr/>
            </w:pPr>
            <w:r>
              <w:rPr/>
              <w:t> </w:t>
            </w:r>
          </w:p>
        </w:tc>
      </w:tr>
      <w:tr>
        <w:trPr/>
        <w:tc>
          <w:tcPr>
            <w:tcW w:w="5251" w:type="dxa"/>
            <w:tcBorders/>
            <w:vAlign w:val="bottom"/>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2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4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1" w:type="dxa"/>
            <w:tcBorders/>
            <w:shd w:fill="CCEEFF" w:val="clear"/>
            <w:vAlign w:val="bottom"/>
          </w:tcPr>
          <w:p>
            <w:pPr>
              <w:pStyle w:val="TableContents"/>
              <w:bidi w:val="0"/>
              <w:spacing w:before="0" w:after="283"/>
              <w:jc w:val="right"/>
              <w:rPr/>
            </w:pPr>
            <w:r>
              <w:rPr/>
              <w:t>(4.05</w:t>
            </w:r>
          </w:p>
        </w:tc>
        <w:tc>
          <w:tcPr>
            <w:tcW w:w="155"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1" w:type="dxa"/>
            <w:tcBorders/>
            <w:shd w:fill="CCEEFF" w:val="clear"/>
            <w:vAlign w:val="bottom"/>
          </w:tcPr>
          <w:p>
            <w:pPr>
              <w:pStyle w:val="TableContents"/>
              <w:bidi w:val="0"/>
              <w:spacing w:before="0" w:after="283"/>
              <w:jc w:val="right"/>
              <w:rPr/>
            </w:pPr>
            <w:r>
              <w:rPr/>
              <w:t>(4.49</w:t>
            </w:r>
          </w:p>
        </w:tc>
        <w:tc>
          <w:tcPr>
            <w:tcW w:w="158" w:type="dxa"/>
            <w:tcBorders/>
            <w:shd w:fill="CCEEFF" w:val="clear"/>
            <w:vAlign w:val="bottom"/>
          </w:tcPr>
          <w:p>
            <w:pPr>
              <w:pStyle w:val="TableContents"/>
              <w:bidi w:val="0"/>
              <w:spacing w:before="0" w:after="283"/>
              <w:jc w:val="left"/>
              <w:rPr/>
            </w:pPr>
            <w:r>
              <w:rPr/>
              <w:t>) </w:t>
            </w:r>
          </w:p>
        </w:tc>
      </w:tr>
      <w:tr>
        <w:trPr/>
        <w:tc>
          <w:tcPr>
            <w:tcW w:w="5251" w:type="dxa"/>
            <w:tcBorders/>
            <w:vAlign w:val="bottom"/>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following outstanding shares of potentially dilutive securities were excluded from the computation of diluted net loss per share attributable to common stockholders for the periods presented because including them would have been antidilutive: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5829"/>
        <w:gridCol w:w="195"/>
        <w:gridCol w:w="60"/>
        <w:gridCol w:w="1106"/>
        <w:gridCol w:w="60"/>
        <w:gridCol w:w="195"/>
        <w:gridCol w:w="60"/>
        <w:gridCol w:w="1106"/>
        <w:gridCol w:w="63"/>
      </w:tblGrid>
      <w:tr>
        <w:trPr/>
        <w:tc>
          <w:tcPr>
            <w:tcW w:w="5829"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82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587" w:type="dxa"/>
            <w:gridSpan w:val="6"/>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March 31,</w:t>
            </w:r>
          </w:p>
        </w:tc>
        <w:tc>
          <w:tcPr>
            <w:tcW w:w="63" w:type="dxa"/>
            <w:tcBorders/>
            <w:vAlign w:val="bottom"/>
          </w:tcPr>
          <w:p>
            <w:pPr>
              <w:pStyle w:val="TableContents"/>
              <w:bidi w:val="0"/>
              <w:spacing w:before="0" w:after="283"/>
              <w:jc w:val="left"/>
              <w:rPr/>
            </w:pPr>
            <w:r>
              <w:rPr/>
              <w:t> </w:t>
            </w:r>
          </w:p>
        </w:tc>
      </w:tr>
      <w:tr>
        <w:trPr/>
        <w:tc>
          <w:tcPr>
            <w:tcW w:w="582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3" w:type="dxa"/>
            <w:tcBorders/>
            <w:vAlign w:val="bottom"/>
          </w:tcPr>
          <w:p>
            <w:pPr>
              <w:pStyle w:val="TableContents"/>
              <w:bidi w:val="0"/>
              <w:spacing w:before="0" w:after="283"/>
              <w:jc w:val="left"/>
              <w:rPr/>
            </w:pPr>
            <w:r>
              <w:rPr/>
              <w:t> </w:t>
            </w:r>
          </w:p>
        </w:tc>
      </w:tr>
      <w:tr>
        <w:trPr/>
        <w:tc>
          <w:tcPr>
            <w:tcW w:w="58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21,517,976</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21,517,976</w:t>
            </w:r>
          </w:p>
        </w:tc>
        <w:tc>
          <w:tcPr>
            <w:tcW w:w="63" w:type="dxa"/>
            <w:tcBorders/>
            <w:shd w:fill="CCEEFF" w:val="clear"/>
            <w:vAlign w:val="bottom"/>
          </w:tcPr>
          <w:p>
            <w:pPr>
              <w:pStyle w:val="TableContents"/>
              <w:bidi w:val="0"/>
              <w:spacing w:before="0" w:after="283"/>
              <w:jc w:val="left"/>
              <w:rPr/>
            </w:pPr>
            <w:r>
              <w:rPr/>
              <w:t> </w:t>
            </w:r>
          </w:p>
        </w:tc>
      </w:tr>
      <w:tr>
        <w:trPr/>
        <w:tc>
          <w:tcPr>
            <w:tcW w:w="5829" w:type="dxa"/>
            <w:tcBorders/>
          </w:tcPr>
          <w:p>
            <w:pPr>
              <w:pStyle w:val="TableContents"/>
              <w:bidi w:val="0"/>
              <w:spacing w:before="0" w:after="0"/>
              <w:jc w:val="left"/>
              <w:rPr>
                <w:rFonts w:ascii="Times New Roman" w:hAnsi="Times New Roman"/>
                <w:sz w:val="20"/>
              </w:rPr>
            </w:pPr>
            <w:r>
              <w:rPr>
                <w:rFonts w:ascii="Times New Roman" w:hAnsi="Times New Roman"/>
                <w:sz w:val="20"/>
              </w:rPr>
              <w:t>Options to purchase common stock</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1,693,463</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2,704,695</w:t>
            </w:r>
          </w:p>
        </w:tc>
        <w:tc>
          <w:tcPr>
            <w:tcW w:w="63" w:type="dxa"/>
            <w:tcBorders/>
            <w:vAlign w:val="bottom"/>
          </w:tcPr>
          <w:p>
            <w:pPr>
              <w:pStyle w:val="TableContents"/>
              <w:bidi w:val="0"/>
              <w:spacing w:before="0" w:after="283"/>
              <w:jc w:val="left"/>
              <w:rPr/>
            </w:pPr>
            <w:r>
              <w:rPr/>
              <w:t> </w:t>
            </w:r>
          </w:p>
        </w:tc>
      </w:tr>
      <w:tr>
        <w:trPr/>
        <w:tc>
          <w:tcPr>
            <w:tcW w:w="58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restricted stock awards</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521,382</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271,110</w:t>
            </w:r>
          </w:p>
        </w:tc>
        <w:tc>
          <w:tcPr>
            <w:tcW w:w="63" w:type="dxa"/>
            <w:tcBorders/>
            <w:shd w:fill="CCEEFF" w:val="clear"/>
            <w:vAlign w:val="bottom"/>
          </w:tcPr>
          <w:p>
            <w:pPr>
              <w:pStyle w:val="TableContents"/>
              <w:bidi w:val="0"/>
              <w:spacing w:before="0" w:after="283"/>
              <w:jc w:val="left"/>
              <w:rPr/>
            </w:pPr>
            <w:r>
              <w:rPr/>
              <w:t> </w:t>
            </w:r>
          </w:p>
        </w:tc>
      </w:tr>
      <w:tr>
        <w:trPr/>
        <w:tc>
          <w:tcPr>
            <w:tcW w:w="5829" w:type="dxa"/>
            <w:tcBorders/>
          </w:tcPr>
          <w:p>
            <w:pPr>
              <w:pStyle w:val="TableContents"/>
              <w:bidi w:val="0"/>
              <w:spacing w:before="0" w:after="0"/>
              <w:jc w:val="left"/>
              <w:rPr>
                <w:rFonts w:ascii="Times New Roman" w:hAnsi="Times New Roman"/>
                <w:sz w:val="20"/>
              </w:rPr>
            </w:pPr>
            <w:r>
              <w:rPr>
                <w:rFonts w:ascii="Times New Roman" w:hAnsi="Times New Roman"/>
                <w:sz w:val="20"/>
              </w:rPr>
              <w:t>Unvested early exercised common stock options</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68,639</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44,563</w:t>
            </w:r>
          </w:p>
        </w:tc>
        <w:tc>
          <w:tcPr>
            <w:tcW w:w="63" w:type="dxa"/>
            <w:tcBorders/>
            <w:vAlign w:val="bottom"/>
          </w:tcPr>
          <w:p>
            <w:pPr>
              <w:pStyle w:val="TableContents"/>
              <w:bidi w:val="0"/>
              <w:spacing w:before="0" w:after="283"/>
              <w:jc w:val="left"/>
              <w:rPr/>
            </w:pPr>
            <w:r>
              <w:rPr/>
              <w:t> </w:t>
            </w:r>
          </w:p>
        </w:tc>
      </w:tr>
      <w:tr>
        <w:trPr/>
        <w:tc>
          <w:tcPr>
            <w:tcW w:w="5829"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8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23,801,460</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24,538,344</w:t>
            </w:r>
          </w:p>
        </w:tc>
        <w:tc>
          <w:tcPr>
            <w:tcW w:w="63" w:type="dxa"/>
            <w:tcBorders/>
            <w:shd w:fill="CCEEFF" w:val="clear"/>
            <w:vAlign w:val="bottom"/>
          </w:tcPr>
          <w:p>
            <w:pPr>
              <w:pStyle w:val="TableContents"/>
              <w:bidi w:val="0"/>
              <w:spacing w:before="0" w:after="283"/>
              <w:jc w:val="left"/>
              <w:rPr/>
            </w:pPr>
            <w:r>
              <w:rPr/>
              <w:t> </w:t>
            </w:r>
          </w:p>
        </w:tc>
      </w:tr>
      <w:tr>
        <w:trPr/>
        <w:tc>
          <w:tcPr>
            <w:tcW w:w="5829"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13.</w:t>
            </w:r>
          </w:p>
        </w:tc>
        <w:tc>
          <w:tcPr>
            <w:tcW w:w="9797"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Employee Benefit Plans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Company sponsors a qualified 401(k) defined contribution plan covering eligible employees. Participants may contribute a portion of their annual compensation limited to a maximum annual amount set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center"/>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by the Internal Revenue Service. The Company’s contributions to the 401(k) Plan were $0.1 million for each of the three months ended March 31, 2025 and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14.</w:t>
            </w:r>
          </w:p>
        </w:tc>
        <w:tc>
          <w:tcPr>
            <w:tcW w:w="9797"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Segment Reporting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CODM uses net loss to measure segment loss and assesses performance against expectations to make resource allocation decisions. In making this assessment, the CODM reviews and evaluates net loss to monitor budget versus actual results and to analyze cash flows for purposes of allocating resources and assessing financial performance. Additionally, the CODM reviews and uses significant expense categories included within net loss as well as the disaggregated amounts within research and development expenses and general and administrative expenses indicated in the table below to manage the Company’s operations. The measure of segment assets is reported on the condensed consolidated balance sheets as total assets. </w:t>
      </w:r>
    </w:p>
    <w:p>
      <w:pPr>
        <w:pStyle w:val="TextBody"/>
        <w:bidi w:val="0"/>
        <w:spacing w:before="120" w:after="0"/>
        <w:jc w:val="both"/>
        <w:rPr>
          <w:rFonts w:ascii="Times New Roman" w:hAnsi="Times New Roman"/>
          <w:sz w:val="20"/>
        </w:rPr>
      </w:pPr>
      <w:r>
        <w:rPr>
          <w:rFonts w:ascii="Times New Roman" w:hAnsi="Times New Roman"/>
          <w:sz w:val="20"/>
        </w:rPr>
        <w:t xml:space="preserve">In addition to the significant expense categories included within net loss presented on the Company’s condensed consolidated statements of operations and comprehensive loss, the following table provides disaggregated amounts that comprised research and development expenses (in thousands):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5862"/>
        <w:gridCol w:w="327"/>
        <w:gridCol w:w="170"/>
        <w:gridCol w:w="831"/>
        <w:gridCol w:w="72"/>
        <w:gridCol w:w="345"/>
        <w:gridCol w:w="170"/>
        <w:gridCol w:w="833"/>
        <w:gridCol w:w="64"/>
      </w:tblGrid>
      <w:tr>
        <w:trPr/>
        <w:tc>
          <w:tcPr>
            <w:tcW w:w="5862" w:type="dxa"/>
            <w:tcBorders/>
            <w:vAlign w:val="center"/>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862"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242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r>
          </w:p>
        </w:tc>
        <w:tc>
          <w:tcPr>
            <w:tcW w:w="64" w:type="dxa"/>
            <w:tcBorders/>
            <w:vAlign w:val="bottom"/>
          </w:tcPr>
          <w:p>
            <w:pPr>
              <w:pStyle w:val="TableContents"/>
              <w:bidi w:val="0"/>
              <w:spacing w:before="0" w:after="283"/>
              <w:jc w:val="left"/>
              <w:rPr/>
            </w:pPr>
            <w:r>
              <w:rPr/>
              <w:t> </w:t>
            </w:r>
          </w:p>
        </w:tc>
      </w:tr>
      <w:tr>
        <w:trPr/>
        <w:tc>
          <w:tcPr>
            <w:tcW w:w="5862"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0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72"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0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4" w:type="dxa"/>
            <w:tcBorders/>
            <w:vAlign w:val="bottom"/>
          </w:tcPr>
          <w:p>
            <w:pPr>
              <w:pStyle w:val="TableContents"/>
              <w:bidi w:val="0"/>
              <w:spacing w:before="0" w:after="283"/>
              <w:jc w:val="left"/>
              <w:rPr/>
            </w:pPr>
            <w:r>
              <w:rPr/>
              <w:t> </w:t>
            </w:r>
          </w:p>
        </w:tc>
      </w:tr>
      <w:tr>
        <w:trPr/>
        <w:tc>
          <w:tcPr>
            <w:tcW w:w="58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costs</w:t>
            </w:r>
          </w:p>
        </w:tc>
        <w:tc>
          <w:tcPr>
            <w:tcW w:w="327"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831"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34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83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862" w:type="dxa"/>
            <w:tcBorders/>
          </w:tcPr>
          <w:p>
            <w:pPr>
              <w:pStyle w:val="TableContents"/>
              <w:bidi w:val="0"/>
              <w:spacing w:before="0" w:after="0"/>
              <w:jc w:val="left"/>
              <w:rPr>
                <w:rFonts w:ascii="Times New Roman" w:hAnsi="Times New Roman"/>
                <w:sz w:val="20"/>
              </w:rPr>
            </w:pPr>
            <w:r>
              <w:rPr>
                <w:rFonts w:ascii="Times New Roman" w:hAnsi="Times New Roman"/>
                <w:sz w:val="20"/>
              </w:rPr>
              <w:t>Clinical, manufacturing, and preclinical services</w:t>
            </w:r>
          </w:p>
        </w:tc>
        <w:tc>
          <w:tcPr>
            <w:tcW w:w="32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831" w:type="dxa"/>
            <w:tcBorders/>
            <w:vAlign w:val="bottom"/>
          </w:tcPr>
          <w:p>
            <w:pPr>
              <w:pStyle w:val="TableContents"/>
              <w:bidi w:val="0"/>
              <w:spacing w:before="0" w:after="283"/>
              <w:jc w:val="right"/>
              <w:rPr/>
            </w:pPr>
            <w:r>
              <w:rPr/>
              <w:t>8,010</w:t>
            </w:r>
          </w:p>
        </w:tc>
        <w:tc>
          <w:tcPr>
            <w:tcW w:w="72"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833" w:type="dxa"/>
            <w:tcBorders/>
            <w:vAlign w:val="bottom"/>
          </w:tcPr>
          <w:p>
            <w:pPr>
              <w:pStyle w:val="TableContents"/>
              <w:bidi w:val="0"/>
              <w:spacing w:before="0" w:after="283"/>
              <w:jc w:val="right"/>
              <w:rPr/>
            </w:pPr>
            <w:r>
              <w:rPr/>
              <w:t>11,895</w:t>
            </w:r>
          </w:p>
        </w:tc>
        <w:tc>
          <w:tcPr>
            <w:tcW w:w="64" w:type="dxa"/>
            <w:tcBorders/>
            <w:vAlign w:val="bottom"/>
          </w:tcPr>
          <w:p>
            <w:pPr>
              <w:pStyle w:val="TableContents"/>
              <w:bidi w:val="0"/>
              <w:spacing w:before="0" w:after="283"/>
              <w:jc w:val="left"/>
              <w:rPr/>
            </w:pPr>
            <w:r>
              <w:rPr/>
              <w:t> </w:t>
            </w:r>
          </w:p>
        </w:tc>
      </w:tr>
      <w:tr>
        <w:trPr/>
        <w:tc>
          <w:tcPr>
            <w:tcW w:w="58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Professional consulting services</w:t>
            </w:r>
          </w:p>
        </w:tc>
        <w:tc>
          <w:tcPr>
            <w:tcW w:w="327"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528</w:t>
            </w:r>
          </w:p>
        </w:tc>
        <w:tc>
          <w:tcPr>
            <w:tcW w:w="72"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618</w:t>
            </w:r>
          </w:p>
        </w:tc>
        <w:tc>
          <w:tcPr>
            <w:tcW w:w="64" w:type="dxa"/>
            <w:tcBorders/>
            <w:shd w:fill="CCEEFF" w:val="clear"/>
            <w:vAlign w:val="bottom"/>
          </w:tcPr>
          <w:p>
            <w:pPr>
              <w:pStyle w:val="TableContents"/>
              <w:bidi w:val="0"/>
              <w:spacing w:before="0" w:after="283"/>
              <w:jc w:val="left"/>
              <w:rPr/>
            </w:pPr>
            <w:r>
              <w:rPr/>
              <w:t> </w:t>
            </w:r>
          </w:p>
        </w:tc>
      </w:tr>
      <w:tr>
        <w:trPr/>
        <w:tc>
          <w:tcPr>
            <w:tcW w:w="5862" w:type="dxa"/>
            <w:tcBorders/>
          </w:tcPr>
          <w:p>
            <w:pPr>
              <w:pStyle w:val="TableContents"/>
              <w:bidi w:val="0"/>
              <w:spacing w:before="0" w:after="0"/>
              <w:jc w:val="left"/>
              <w:rPr>
                <w:rFonts w:ascii="Times New Roman" w:hAnsi="Times New Roman"/>
                <w:sz w:val="20"/>
              </w:rPr>
            </w:pPr>
            <w:r>
              <w:rPr>
                <w:rFonts w:ascii="Times New Roman" w:hAnsi="Times New Roman"/>
                <w:sz w:val="20"/>
              </w:rPr>
              <w:t>Consumables and other research and development costs</w:t>
            </w:r>
          </w:p>
        </w:tc>
        <w:tc>
          <w:tcPr>
            <w:tcW w:w="32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553</w:t>
            </w:r>
          </w:p>
        </w:tc>
        <w:tc>
          <w:tcPr>
            <w:tcW w:w="72"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752</w:t>
            </w:r>
          </w:p>
        </w:tc>
        <w:tc>
          <w:tcPr>
            <w:tcW w:w="64" w:type="dxa"/>
            <w:tcBorders/>
            <w:vAlign w:val="bottom"/>
          </w:tcPr>
          <w:p>
            <w:pPr>
              <w:pStyle w:val="TableContents"/>
              <w:bidi w:val="0"/>
              <w:spacing w:before="0" w:after="283"/>
              <w:jc w:val="left"/>
              <w:rPr/>
            </w:pPr>
            <w:r>
              <w:rPr/>
              <w:t> </w:t>
            </w:r>
          </w:p>
        </w:tc>
      </w:tr>
      <w:tr>
        <w:trPr/>
        <w:tc>
          <w:tcPr>
            <w:tcW w:w="58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Internal costs</w:t>
            </w:r>
          </w:p>
        </w:tc>
        <w:tc>
          <w:tcPr>
            <w:tcW w:w="327"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831"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34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83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862" w:type="dxa"/>
            <w:tcBorders/>
          </w:tcPr>
          <w:p>
            <w:pPr>
              <w:pStyle w:val="TableContents"/>
              <w:bidi w:val="0"/>
              <w:spacing w:before="0" w:after="0"/>
              <w:jc w:val="left"/>
              <w:rPr>
                <w:rFonts w:ascii="Times New Roman" w:hAnsi="Times New Roman"/>
                <w:sz w:val="20"/>
              </w:rPr>
            </w:pPr>
            <w:r>
              <w:rPr>
                <w:rFonts w:ascii="Times New Roman" w:hAnsi="Times New Roman"/>
                <w:sz w:val="20"/>
              </w:rPr>
              <w:t>Personnel-related costs</w:t>
            </w:r>
          </w:p>
        </w:tc>
        <w:tc>
          <w:tcPr>
            <w:tcW w:w="32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2,512</w:t>
            </w:r>
          </w:p>
        </w:tc>
        <w:tc>
          <w:tcPr>
            <w:tcW w:w="72"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3,017</w:t>
            </w:r>
          </w:p>
        </w:tc>
        <w:tc>
          <w:tcPr>
            <w:tcW w:w="64" w:type="dxa"/>
            <w:tcBorders/>
            <w:vAlign w:val="bottom"/>
          </w:tcPr>
          <w:p>
            <w:pPr>
              <w:pStyle w:val="TableContents"/>
              <w:bidi w:val="0"/>
              <w:spacing w:before="0" w:after="283"/>
              <w:jc w:val="left"/>
              <w:rPr/>
            </w:pPr>
            <w:r>
              <w:rPr/>
              <w:t> </w:t>
            </w:r>
          </w:p>
        </w:tc>
      </w:tr>
      <w:tr>
        <w:trPr/>
        <w:tc>
          <w:tcPr>
            <w:tcW w:w="58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Facilities and overhead costs</w:t>
            </w:r>
          </w:p>
        </w:tc>
        <w:tc>
          <w:tcPr>
            <w:tcW w:w="327"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253</w:t>
            </w:r>
          </w:p>
        </w:tc>
        <w:tc>
          <w:tcPr>
            <w:tcW w:w="72"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464</w:t>
            </w:r>
          </w:p>
        </w:tc>
        <w:tc>
          <w:tcPr>
            <w:tcW w:w="64" w:type="dxa"/>
            <w:tcBorders/>
            <w:shd w:fill="CCEEFF" w:val="clear"/>
            <w:vAlign w:val="bottom"/>
          </w:tcPr>
          <w:p>
            <w:pPr>
              <w:pStyle w:val="TableContents"/>
              <w:bidi w:val="0"/>
              <w:spacing w:before="0" w:after="283"/>
              <w:jc w:val="left"/>
              <w:rPr/>
            </w:pPr>
            <w:r>
              <w:rPr/>
              <w:t> </w:t>
            </w:r>
          </w:p>
        </w:tc>
      </w:tr>
      <w:tr>
        <w:trPr/>
        <w:tc>
          <w:tcPr>
            <w:tcW w:w="5862"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862" w:type="dxa"/>
            <w:tcBorders/>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32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831" w:type="dxa"/>
            <w:tcBorders/>
            <w:vAlign w:val="bottom"/>
          </w:tcPr>
          <w:p>
            <w:pPr>
              <w:pStyle w:val="TableContents"/>
              <w:bidi w:val="0"/>
              <w:spacing w:before="0" w:after="283"/>
              <w:jc w:val="right"/>
              <w:rPr/>
            </w:pPr>
            <w:r>
              <w:rPr/>
              <w:t>11,856</w:t>
            </w:r>
          </w:p>
        </w:tc>
        <w:tc>
          <w:tcPr>
            <w:tcW w:w="72"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833" w:type="dxa"/>
            <w:tcBorders/>
            <w:vAlign w:val="bottom"/>
          </w:tcPr>
          <w:p>
            <w:pPr>
              <w:pStyle w:val="TableContents"/>
              <w:bidi w:val="0"/>
              <w:spacing w:before="0" w:after="283"/>
              <w:jc w:val="right"/>
              <w:rPr/>
            </w:pPr>
            <w:r>
              <w:rPr/>
              <w:t>16,746</w:t>
            </w:r>
          </w:p>
        </w:tc>
        <w:tc>
          <w:tcPr>
            <w:tcW w:w="64" w:type="dxa"/>
            <w:tcBorders/>
            <w:vAlign w:val="bottom"/>
          </w:tcPr>
          <w:p>
            <w:pPr>
              <w:pStyle w:val="TableContents"/>
              <w:bidi w:val="0"/>
              <w:spacing w:before="0" w:after="283"/>
              <w:jc w:val="left"/>
              <w:rPr/>
            </w:pPr>
            <w:r>
              <w:rPr/>
              <w:t> </w:t>
            </w:r>
          </w:p>
        </w:tc>
      </w:tr>
      <w:tr>
        <w:trPr/>
        <w:tc>
          <w:tcPr>
            <w:tcW w:w="5862"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831" w:type="dxa"/>
            <w:tcBorders/>
            <w:vAlign w:val="bottom"/>
          </w:tcPr>
          <w:p>
            <w:pPr>
              <w:pStyle w:val="TableContents"/>
              <w:pBdr>
                <w:top w:val="double" w:sz="6"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83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15.</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Company evaluated subsequent events from March 31, 2026 to June 5, 2026, the day on which these condensed consolidated financial statements were available to be issued and through July 29, 2026, the date when these condensed consolidated financial statements are available to be reissued. No subsequent events have been identified for disclosure to or adjustment on the condensed consolidated financial statements, other than the matters noted below. </w:t>
      </w:r>
    </w:p>
    <w:p>
      <w:pPr>
        <w:pStyle w:val="TextBody"/>
        <w:bidi w:val="0"/>
        <w:spacing w:before="120" w:after="0"/>
        <w:jc w:val="both"/>
        <w:rPr>
          <w:rFonts w:ascii="Times New Roman" w:hAnsi="Times New Roman"/>
          <w:sz w:val="20"/>
        </w:rPr>
      </w:pPr>
      <w:r>
        <w:rPr>
          <w:rFonts w:ascii="Times New Roman" w:hAnsi="Times New Roman"/>
          <w:sz w:val="20"/>
        </w:rPr>
        <w:t xml:space="preserve">On July 22, 2026, the board of directors approved, and on July 29, 2026, the Company effected, a reverse stock split of the shares of the Company’s outstanding common stock at a ratio of 1-for-9.29 (the “Reverse Stock Split”). The number of authorized shares and par value per share were not adjusted as a result of the Reverse Stock Split. All references to shares, options to purchase common stock, share amounts, per share amount, and related information contained in the condensed consolidated financial statements have been retrospectively adjusted to reflect the effect of the Reverse Stock Split for all periods presented. The shares of common stock underlying outstanding stock options and other equity instruments were proportionately reduced and the respective exercise prices, if applicable, were proportionately increased in accordance with the terms of the agreements governing such securities. In addition, the conversion ratios for each series of the Company’s redeemable convertible preferred stock, which will automatically convert into shares of common stock upon the closing of the Company’s IPO of common stock, were proportionally adjusted.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Attovia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center"/>
        <w:rPr/>
      </w:pP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On July 22, 2026, the board of directors also approved grants of stock options upon the effectiveness of the registration statement covering an aggregate of 1,642,700 shares of common stock to certain employees and members of the board of directors. The awards are subject to service-based vesting requirements. The exercise price of the options will equal the initial public offering price per share. The Company is evaluating the accounting impact of these awards, including the determination of grant-date fair value and the resulting stock-based compensation expense to be recognized in future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F-61 </w:t>
      </w:r>
      <w:r>
        <w:br w:type="page"/>
      </w:r>
    </w:p>
    <w:p>
      <w:pPr>
        <w:pStyle w:val="HorizontalLine"/>
        <w:pBdr>
          <w:bottom w:val="double" w:sz="6" w:space="0" w:color="808080"/>
        </w:pBdr>
        <w:bidi w:val="0"/>
        <w:jc w:val="left"/>
        <w:rPr/>
      </w:pPr>
      <w:r>
        <w:rPr/>
      </w:r>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720" w:after="0"/>
        <w:jc w:val="center"/>
        <w:rPr>
          <w:rFonts w:ascii="Times New Roman" w:hAnsi="Times New Roman"/>
          <w:b/>
          <w:sz w:val="36"/>
        </w:rPr>
      </w:pPr>
      <w:r>
        <w:rPr>
          <w:rFonts w:ascii="Times New Roman" w:hAnsi="Times New Roman"/>
          <w:b/>
          <w:sz w:val="36"/>
        </w:rPr>
        <w:t xml:space="preserve">17,000,000 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075815" cy="793750"/>
            <wp:effectExtent l="0" t="0" r="0" b="0"/>
            <wp:docPr id="4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1" descr=""/>
                    <pic:cNvPicPr>
                      <a:picLocks noChangeAspect="1" noChangeArrowheads="1"/>
                    </pic:cNvPicPr>
                  </pic:nvPicPr>
                  <pic:blipFill>
                    <a:blip r:embed="rId42"/>
                    <a:stretch>
                      <a:fillRect/>
                    </a:stretch>
                  </pic:blipFill>
                  <pic:spPr bwMode="auto">
                    <a:xfrm>
                      <a:off x="0" y="0"/>
                      <a:ext cx="2075815" cy="793750"/>
                    </a:xfrm>
                    <a:prstGeom prst="rect">
                      <a:avLst/>
                    </a:prstGeom>
                  </pic:spPr>
                </pic:pic>
              </a:graphicData>
            </a:graphic>
          </wp:inline>
        </w:drawing>
      </w:r>
      <w:r>
        <w:rPr/>
        <w:t xml:space="preserve"> </w:t>
      </w:r>
    </w:p>
    <w:p>
      <w:pPr>
        <w:pStyle w:val="TextBody"/>
        <w:bidi w:val="0"/>
        <w:spacing w:before="14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1440" w:after="0"/>
        <w:jc w:val="center"/>
        <w:rPr>
          <w:rFonts w:ascii="Times New Roman" w:hAnsi="Times New Roman"/>
          <w:b/>
          <w:sz w:val="28"/>
        </w:rPr>
      </w:pPr>
      <w:r>
        <w:rPr>
          <w:rFonts w:ascii="Times New Roman" w:hAnsi="Times New Roman"/>
          <w:b/>
          <w:sz w:val="28"/>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47"/>
        <w:gridCol w:w="101"/>
        <w:gridCol w:w="2552"/>
        <w:gridCol w:w="101"/>
        <w:gridCol w:w="2552"/>
        <w:gridCol w:w="102"/>
        <w:gridCol w:w="2450"/>
      </w:tblGrid>
      <w:tr>
        <w:trPr/>
        <w:tc>
          <w:tcPr>
            <w:tcW w:w="234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2347" w:type="dxa"/>
            <w:tcBorders/>
          </w:tcPr>
          <w:p>
            <w:pPr>
              <w:pStyle w:val="TableContents"/>
              <w:bidi w:val="0"/>
              <w:spacing w:before="0" w:after="283"/>
              <w:jc w:val="left"/>
              <w:rPr>
                <w:b/>
              </w:rPr>
            </w:pPr>
            <w:r>
              <w:rPr>
                <w:b/>
              </w:rPr>
              <w:t>Morgan Stanley</w:t>
            </w:r>
          </w:p>
        </w:tc>
        <w:tc>
          <w:tcPr>
            <w:tcW w:w="101"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center"/>
              <w:rPr>
                <w:b/>
              </w:rPr>
            </w:pPr>
            <w:r>
              <w:rPr>
                <w:b/>
              </w:rPr>
              <w:t>Leerink Partners</w:t>
            </w:r>
          </w:p>
        </w:tc>
        <w:tc>
          <w:tcPr>
            <w:tcW w:w="101"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center"/>
              <w:rPr>
                <w:b/>
              </w:rPr>
            </w:pPr>
            <w:r>
              <w:rPr>
                <w:b/>
              </w:rPr>
              <w:t>Citigroup</w:t>
            </w:r>
          </w:p>
        </w:tc>
        <w:tc>
          <w:tcPr>
            <w:tcW w:w="102"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center"/>
              <w:rPr>
                <w:b/>
              </w:rPr>
            </w:pPr>
            <w:r>
              <w:rPr>
                <w:b/>
              </w:rPr>
              <w:t>RBC Capital Markets</w:t>
            </w:r>
          </w:p>
        </w:tc>
      </w:tr>
    </w:tbl>
    <w:p>
      <w:pPr>
        <w:pStyle w:val="TextBody"/>
        <w:bidi w:val="0"/>
        <w:spacing w:before="360" w:after="0"/>
        <w:jc w:val="center"/>
        <w:rPr>
          <w:rFonts w:ascii="Times New Roman" w:hAnsi="Times New Roman"/>
          <w:b/>
          <w:sz w:val="24"/>
        </w:rPr>
      </w:pPr>
      <w:r>
        <w:rPr>
          <w:rFonts w:ascii="Times New Roman" w:hAnsi="Times New Roman"/>
          <w:b/>
          <w:sz w:val="24"/>
        </w:rPr>
        <w:t xml:space="preserve">LifeSci Capital </w:t>
      </w:r>
    </w:p>
    <w:p>
      <w:pPr>
        <w:pStyle w:val="TextBody"/>
        <w:bidi w:val="0"/>
        <w:spacing w:before="2000" w:after="0"/>
        <w:jc w:val="center"/>
        <w:rPr/>
      </w:pPr>
      <w:r>
        <w:rPr/>
        <w:t>   </w:t>
      </w:r>
      <w:r>
        <w:rPr>
          <w:rFonts w:ascii="Times New Roman" w:hAnsi="Times New Roman"/>
          <w:sz w:val="20"/>
        </w:rPr>
        <w:t xml:space="preserve">,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13. Other Expenses of Issuance and Distribution.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sets forth all costs and expenses, other than underwriting discounts and commissions, paid or payable by the Registrant in connection with the sale of the common stock being registered. All amounts shown are estimates except for the SEC registration fee, the Financial Industry Regulatory Authority, Inc. (FINRA) filing fee and the Nasdaq Global Market (Nasdaq) listing fee: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18"/>
        <w:gridCol w:w="410"/>
        <w:gridCol w:w="198"/>
        <w:gridCol w:w="1390"/>
        <w:gridCol w:w="89"/>
      </w:tblGrid>
      <w:tr>
        <w:trPr/>
        <w:tc>
          <w:tcPr>
            <w:tcW w:w="8118"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r>
      <w:tr>
        <w:trPr/>
        <w:tc>
          <w:tcPr>
            <w:tcW w:w="8118"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677" w:type="dxa"/>
            <w:gridSpan w:val="3"/>
            <w:tcBorders>
              <w:bottom w:val="single" w:sz="8" w:space="0" w:color="000000"/>
            </w:tcBorders>
            <w:tcMar>
              <w:bottom w:w="28" w:type="dxa"/>
            </w:tcMar>
            <w:vAlign w:val="bottom"/>
          </w:tcPr>
          <w:p>
            <w:pPr>
              <w:pStyle w:val="TableContents"/>
              <w:bidi w:val="0"/>
              <w:spacing w:before="0" w:after="283"/>
              <w:jc w:val="center"/>
              <w:rPr/>
            </w:pPr>
            <w:r>
              <w:rPr>
                <w:b/>
              </w:rPr>
              <w:t>Amount Paid or</w:t>
            </w:r>
            <w:r>
              <w:rPr/>
              <w:br/>
            </w:r>
            <w:r>
              <w:rPr>
                <w:b/>
              </w:rPr>
              <w:t>to Be Paid</w:t>
            </w:r>
          </w:p>
        </w:tc>
      </w:tr>
      <w:tr>
        <w:trPr/>
        <w:tc>
          <w:tcPr>
            <w:tcW w:w="81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1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390" w:type="dxa"/>
            <w:tcBorders/>
            <w:shd w:fill="CCEEFF" w:val="clear"/>
            <w:vAlign w:val="bottom"/>
          </w:tcPr>
          <w:p>
            <w:pPr>
              <w:pStyle w:val="TableContents"/>
              <w:bidi w:val="0"/>
              <w:spacing w:before="0" w:after="283"/>
              <w:jc w:val="right"/>
              <w:rPr/>
            </w:pPr>
            <w:r>
              <w:rPr/>
              <w:t>45,898</w:t>
            </w:r>
          </w:p>
        </w:tc>
        <w:tc>
          <w:tcPr>
            <w:tcW w:w="89" w:type="dxa"/>
            <w:tcBorders/>
            <w:shd w:fill="CCEEFF" w:val="clear"/>
            <w:vAlign w:val="bottom"/>
          </w:tcPr>
          <w:p>
            <w:pPr>
              <w:pStyle w:val="TableContents"/>
              <w:bidi w:val="0"/>
              <w:spacing w:before="0" w:after="283"/>
              <w:jc w:val="left"/>
              <w:rPr/>
            </w:pPr>
            <w:r>
              <w:rPr/>
              <w:t> </w:t>
            </w:r>
          </w:p>
        </w:tc>
      </w:tr>
      <w:tr>
        <w:trPr/>
        <w:tc>
          <w:tcPr>
            <w:tcW w:w="8118" w:type="dxa"/>
            <w:tcBorders/>
          </w:tcPr>
          <w:p>
            <w:pPr>
              <w:pStyle w:val="TableContents"/>
              <w:bidi w:val="0"/>
              <w:spacing w:before="0" w:after="0"/>
              <w:jc w:val="left"/>
              <w:rPr>
                <w:rFonts w:ascii="Times New Roman" w:hAnsi="Times New Roman"/>
                <w:sz w:val="20"/>
              </w:rPr>
            </w:pPr>
            <w:r>
              <w:rPr>
                <w:rFonts w:ascii="Times New Roman" w:hAnsi="Times New Roman"/>
                <w:sz w:val="20"/>
              </w:rPr>
              <w:t>FINRA filing fee</w:t>
            </w:r>
          </w:p>
        </w:tc>
        <w:tc>
          <w:tcPr>
            <w:tcW w:w="41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50,353</w:t>
            </w:r>
          </w:p>
        </w:tc>
        <w:tc>
          <w:tcPr>
            <w:tcW w:w="89" w:type="dxa"/>
            <w:tcBorders/>
            <w:vAlign w:val="bottom"/>
          </w:tcPr>
          <w:p>
            <w:pPr>
              <w:pStyle w:val="TableContents"/>
              <w:bidi w:val="0"/>
              <w:spacing w:before="0" w:after="283"/>
              <w:jc w:val="left"/>
              <w:rPr/>
            </w:pPr>
            <w:r>
              <w:rPr/>
              <w:t> </w:t>
            </w:r>
          </w:p>
        </w:tc>
      </w:tr>
      <w:tr>
        <w:trPr/>
        <w:tc>
          <w:tcPr>
            <w:tcW w:w="81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Nasdaq listing fee</w:t>
            </w:r>
          </w:p>
        </w:tc>
        <w:tc>
          <w:tcPr>
            <w:tcW w:w="41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325,000</w:t>
            </w:r>
          </w:p>
        </w:tc>
        <w:tc>
          <w:tcPr>
            <w:tcW w:w="89" w:type="dxa"/>
            <w:tcBorders/>
            <w:shd w:fill="CCEEFF" w:val="clear"/>
            <w:vAlign w:val="bottom"/>
          </w:tcPr>
          <w:p>
            <w:pPr>
              <w:pStyle w:val="TableContents"/>
              <w:bidi w:val="0"/>
              <w:spacing w:before="0" w:after="283"/>
              <w:jc w:val="left"/>
              <w:rPr/>
            </w:pPr>
            <w:r>
              <w:rPr/>
              <w:t> </w:t>
            </w:r>
          </w:p>
        </w:tc>
      </w:tr>
      <w:tr>
        <w:trPr/>
        <w:tc>
          <w:tcPr>
            <w:tcW w:w="8118" w:type="dxa"/>
            <w:tcBorders/>
          </w:tcPr>
          <w:p>
            <w:pPr>
              <w:pStyle w:val="TableContents"/>
              <w:bidi w:val="0"/>
              <w:spacing w:before="0" w:after="0"/>
              <w:jc w:val="left"/>
              <w:rPr>
                <w:rFonts w:ascii="Times New Roman" w:hAnsi="Times New Roman"/>
                <w:sz w:val="20"/>
              </w:rPr>
            </w:pPr>
            <w:r>
              <w:rPr>
                <w:rFonts w:ascii="Times New Roman" w:hAnsi="Times New Roman"/>
                <w:sz w:val="20"/>
              </w:rPr>
              <w:t>Printing and engraving expenses</w:t>
            </w:r>
          </w:p>
        </w:tc>
        <w:tc>
          <w:tcPr>
            <w:tcW w:w="41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400,000</w:t>
            </w:r>
          </w:p>
        </w:tc>
        <w:tc>
          <w:tcPr>
            <w:tcW w:w="89" w:type="dxa"/>
            <w:tcBorders/>
            <w:vAlign w:val="bottom"/>
          </w:tcPr>
          <w:p>
            <w:pPr>
              <w:pStyle w:val="TableContents"/>
              <w:bidi w:val="0"/>
              <w:spacing w:before="0" w:after="283"/>
              <w:jc w:val="left"/>
              <w:rPr/>
            </w:pPr>
            <w:r>
              <w:rPr/>
              <w:t> </w:t>
            </w:r>
          </w:p>
        </w:tc>
      </w:tr>
      <w:tr>
        <w:trPr/>
        <w:tc>
          <w:tcPr>
            <w:tcW w:w="81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1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2,250,000</w:t>
            </w:r>
          </w:p>
        </w:tc>
        <w:tc>
          <w:tcPr>
            <w:tcW w:w="89" w:type="dxa"/>
            <w:tcBorders/>
            <w:shd w:fill="CCEEFF" w:val="clear"/>
            <w:vAlign w:val="bottom"/>
          </w:tcPr>
          <w:p>
            <w:pPr>
              <w:pStyle w:val="TableContents"/>
              <w:bidi w:val="0"/>
              <w:spacing w:before="0" w:after="283"/>
              <w:jc w:val="left"/>
              <w:rPr/>
            </w:pPr>
            <w:r>
              <w:rPr/>
              <w:t> </w:t>
            </w:r>
          </w:p>
        </w:tc>
      </w:tr>
      <w:tr>
        <w:trPr/>
        <w:tc>
          <w:tcPr>
            <w:tcW w:w="8118"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1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1,100,000</w:t>
            </w:r>
          </w:p>
        </w:tc>
        <w:tc>
          <w:tcPr>
            <w:tcW w:w="89" w:type="dxa"/>
            <w:tcBorders/>
            <w:vAlign w:val="bottom"/>
          </w:tcPr>
          <w:p>
            <w:pPr>
              <w:pStyle w:val="TableContents"/>
              <w:bidi w:val="0"/>
              <w:spacing w:before="0" w:after="283"/>
              <w:jc w:val="left"/>
              <w:rPr/>
            </w:pPr>
            <w:r>
              <w:rPr/>
              <w:t> </w:t>
            </w:r>
          </w:p>
        </w:tc>
      </w:tr>
      <w:tr>
        <w:trPr/>
        <w:tc>
          <w:tcPr>
            <w:tcW w:w="81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Transfer agent and registrar fees and expenses</w:t>
            </w:r>
          </w:p>
        </w:tc>
        <w:tc>
          <w:tcPr>
            <w:tcW w:w="41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5,000</w:t>
            </w:r>
          </w:p>
        </w:tc>
        <w:tc>
          <w:tcPr>
            <w:tcW w:w="89" w:type="dxa"/>
            <w:tcBorders/>
            <w:shd w:fill="CCEEFF" w:val="clear"/>
            <w:vAlign w:val="bottom"/>
          </w:tcPr>
          <w:p>
            <w:pPr>
              <w:pStyle w:val="TableContents"/>
              <w:bidi w:val="0"/>
              <w:spacing w:before="0" w:after="283"/>
              <w:jc w:val="left"/>
              <w:rPr/>
            </w:pPr>
            <w:r>
              <w:rPr/>
              <w:t> </w:t>
            </w:r>
          </w:p>
        </w:tc>
      </w:tr>
      <w:tr>
        <w:trPr/>
        <w:tc>
          <w:tcPr>
            <w:tcW w:w="8118"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 expenses</w:t>
            </w:r>
          </w:p>
        </w:tc>
        <w:tc>
          <w:tcPr>
            <w:tcW w:w="41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323,749</w:t>
            </w:r>
          </w:p>
        </w:tc>
        <w:tc>
          <w:tcPr>
            <w:tcW w:w="89" w:type="dxa"/>
            <w:tcBorders/>
            <w:vAlign w:val="bottom"/>
          </w:tcPr>
          <w:p>
            <w:pPr>
              <w:pStyle w:val="TableContents"/>
              <w:bidi w:val="0"/>
              <w:spacing w:before="0" w:after="283"/>
              <w:jc w:val="left"/>
              <w:rPr/>
            </w:pPr>
            <w:r>
              <w:rPr/>
              <w:t> </w:t>
            </w:r>
          </w:p>
        </w:tc>
      </w:tr>
      <w:tr>
        <w:trPr/>
        <w:tc>
          <w:tcPr>
            <w:tcW w:w="8118"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390" w:type="dxa"/>
            <w:tcBorders/>
            <w:vAlign w:val="bottom"/>
          </w:tcPr>
          <w:p>
            <w:pPr>
              <w:pStyle w:val="TableContents"/>
              <w:pBdr>
                <w:top w:val="single" w:sz="2" w:space="1" w:color="000000"/>
              </w:pBdr>
              <w:bidi w:val="0"/>
              <w:spacing w:before="0" w:after="0"/>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r>
      <w:tr>
        <w:trPr/>
        <w:tc>
          <w:tcPr>
            <w:tcW w:w="81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1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390" w:type="dxa"/>
            <w:tcBorders/>
            <w:shd w:fill="CCEEFF" w:val="clear"/>
            <w:vAlign w:val="bottom"/>
          </w:tcPr>
          <w:p>
            <w:pPr>
              <w:pStyle w:val="TableContents"/>
              <w:bidi w:val="0"/>
              <w:spacing w:before="0" w:after="283"/>
              <w:jc w:val="right"/>
              <w:rPr/>
            </w:pPr>
            <w:r>
              <w:rPr/>
              <w:t>4,500,000</w:t>
            </w:r>
          </w:p>
        </w:tc>
        <w:tc>
          <w:tcPr>
            <w:tcW w:w="89" w:type="dxa"/>
            <w:tcBorders/>
            <w:shd w:fill="CCEEFF" w:val="clear"/>
            <w:vAlign w:val="bottom"/>
          </w:tcPr>
          <w:p>
            <w:pPr>
              <w:pStyle w:val="TableContents"/>
              <w:bidi w:val="0"/>
              <w:spacing w:before="0" w:after="283"/>
              <w:jc w:val="left"/>
              <w:rPr/>
            </w:pPr>
            <w:r>
              <w:rPr/>
              <w:t> </w:t>
            </w:r>
          </w:p>
        </w:tc>
      </w:tr>
      <w:tr>
        <w:trPr/>
        <w:tc>
          <w:tcPr>
            <w:tcW w:w="8118"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double" w:sz="6" w:space="1" w:color="000000"/>
              </w:pBdr>
              <w:bidi w:val="0"/>
              <w:spacing w:before="0" w:after="0"/>
              <w:jc w:val="left"/>
              <w:rPr/>
            </w:pPr>
            <w:r>
              <w:rPr/>
              <w:t> </w:t>
            </w:r>
          </w:p>
        </w:tc>
        <w:tc>
          <w:tcPr>
            <w:tcW w:w="1390" w:type="dxa"/>
            <w:tcBorders/>
            <w:vAlign w:val="bottom"/>
          </w:tcPr>
          <w:p>
            <w:pPr>
              <w:pStyle w:val="TableContents"/>
              <w:pBdr>
                <w:top w:val="double" w:sz="6" w:space="1" w:color="000000"/>
              </w:pBdr>
              <w:bidi w:val="0"/>
              <w:spacing w:before="0" w:after="0"/>
              <w:jc w:val="left"/>
              <w:rPr/>
            </w:pPr>
            <w:r>
              <w:rPr/>
              <w:t> </w:t>
            </w:r>
          </w:p>
        </w:tc>
        <w:tc>
          <w:tcPr>
            <w:tcW w:w="89" w:type="dxa"/>
            <w:tcBorders/>
            <w:vAlign w:val="bottom"/>
          </w:tcPr>
          <w:p>
            <w:pPr>
              <w:pStyle w:val="TableContents"/>
              <w:pBdr>
                <w:top w:val="double" w:sz="6" w:space="1" w:color="000000"/>
              </w:pBdr>
              <w:bidi w:val="0"/>
              <w:spacing w:before="0" w:after="0"/>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14. Indemnification of Directors and Officers. </w:t>
      </w:r>
    </w:p>
    <w:p>
      <w:pPr>
        <w:pStyle w:val="TextBody"/>
        <w:bidi w:val="0"/>
        <w:spacing w:before="120" w:after="0"/>
        <w:jc w:val="both"/>
        <w:rPr>
          <w:rFonts w:ascii="Times New Roman" w:hAnsi="Times New Roman"/>
          <w:sz w:val="20"/>
        </w:rPr>
      </w:pPr>
      <w:r>
        <w:rPr>
          <w:rFonts w:ascii="Times New Roman" w:hAnsi="Times New Roman"/>
          <w:sz w:val="20"/>
        </w:rPr>
        <w:t xml:space="preserve">Section 145 of the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 </w:t>
      </w:r>
    </w:p>
    <w:p>
      <w:pPr>
        <w:pStyle w:val="TextBody"/>
        <w:bidi w:val="0"/>
        <w:spacing w:before="240" w:after="0"/>
        <w:jc w:val="both"/>
        <w:rPr>
          <w:rFonts w:ascii="Times New Roman" w:hAnsi="Times New Roman"/>
          <w:sz w:val="20"/>
        </w:rPr>
      </w:pPr>
      <w:r>
        <w:rPr>
          <w:rFonts w:ascii="Times New Roman" w:hAnsi="Times New Roman"/>
          <w:sz w:val="20"/>
        </w:rPr>
        <w:t xml:space="preserve">As permitted by the DGCL, the registrant’s restated certificate of incorporation to be effective upon the completion of this offering contains provisions that eliminate the personal liability of its directors and officers for monetary damages for any breach of fiduciary duties as a director or officer, except liability for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breach of the director’s or officer’s duty of loyalty to the registrant or its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acts or omissions not in good faith or that involve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with respect to directors, under Section 174 of the DGCL (regarding unlawful dividends and stock purchases);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transaction from which the director or officer derived an improper personal benefit. </w:t>
            </w:r>
          </w:p>
        </w:tc>
      </w:tr>
    </w:tbl>
    <w:p>
      <w:pPr>
        <w:pStyle w:val="TextBody"/>
        <w:bidi w:val="0"/>
        <w:spacing w:before="240" w:after="0"/>
        <w:jc w:val="both"/>
        <w:rPr>
          <w:rFonts w:ascii="Times New Roman" w:hAnsi="Times New Roman"/>
          <w:sz w:val="20"/>
        </w:rPr>
      </w:pPr>
      <w:r>
        <w:rPr>
          <w:rFonts w:ascii="Times New Roman" w:hAnsi="Times New Roman"/>
          <w:sz w:val="20"/>
        </w:rPr>
        <w:t xml:space="preserve">As permitted by the DGCL, the registrant’s restated bylaws to be effective upon the completion of this offering, provide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registrant is required to indemnify its directors and officers to the fullest extent permitted by the DGCL, subject to limited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registrant may indemnify its other employees and agents as set forth in the DGCL;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registrant is required to advance expenses, as incurred, to its directors and officers in connection with a legal proceeding to the fullest extent permitted by the DGCL, subject to limited exceptions;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rights conferred in the restated bylaws are not exclusive.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Prior to the completion of this offering, the registrant intends to enter into indemnification agreements with each of its current directors and executive officers to provide these directors and executive officers additional contractual assurances regarding the scope of the indemnification set forth in the registrant’s restated certificate of incorporation and restated bylaws and to provide additional procedural protections. There is no pending litigation or proceeding involving a director or executive officer of the registrant for which indemnification is sought. Reference is also made to the underwriting agreement to be filed as Exhibit 1.1 to this registration statement, which provides for the indemnification of executive officers, directors and controlling persons of the registrant against certain liabilities. The indemnification provisions in the registrant’s restated certificate of incorporation, restated bylaws and the indemnification agreements entered into or to be entered into between the registrant and each of its directors and executive officers may be sufficiently broad to permit indemnification of the registrant’s directors and executive officers for liabilities arising under the Securities Act. </w:t>
      </w:r>
    </w:p>
    <w:p>
      <w:pPr>
        <w:pStyle w:val="TextBody"/>
        <w:bidi w:val="0"/>
        <w:spacing w:before="240" w:after="0"/>
        <w:jc w:val="both"/>
        <w:rPr>
          <w:rFonts w:ascii="Times New Roman" w:hAnsi="Times New Roman"/>
          <w:sz w:val="20"/>
        </w:rPr>
      </w:pPr>
      <w:r>
        <w:rPr>
          <w:rFonts w:ascii="Times New Roman" w:hAnsi="Times New Roman"/>
          <w:sz w:val="20"/>
        </w:rPr>
        <w:t xml:space="preserve">The registrant has directors’ and officers’ liability insurance for securities matters. </w:t>
      </w:r>
    </w:p>
    <w:p>
      <w:pPr>
        <w:pStyle w:val="TextBody"/>
        <w:bidi w:val="0"/>
        <w:spacing w:before="360" w:after="0"/>
        <w:jc w:val="left"/>
        <w:rPr>
          <w:rFonts w:ascii="Times New Roman" w:hAnsi="Times New Roman"/>
          <w:b/>
          <w:sz w:val="20"/>
        </w:rPr>
      </w:pPr>
      <w:r>
        <w:rPr>
          <w:rFonts w:ascii="Times New Roman" w:hAnsi="Times New Roman"/>
          <w:b/>
          <w:sz w:val="20"/>
        </w:rPr>
        <w:t xml:space="preserve">Item 15. Recent Sales of Unregistered Securities.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lists set forth information regarding all securities sold or granted by the registrant since July 29, 2023 through the date of this prospectus that were not registered under the Securities Act, and the consideration, if any, received by the registrant for such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204"/>
        <w:gridCol w:w="9287"/>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(a)</w:t>
            </w:r>
          </w:p>
        </w:tc>
        <w:tc>
          <w:tcPr>
            <w:tcW w:w="204"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Stock Option Grants </w:t>
            </w:r>
          </w:p>
        </w:tc>
      </w:tr>
    </w:tbl>
    <w:p>
      <w:pPr>
        <w:pStyle w:val="TextBody"/>
        <w:bidi w:val="0"/>
        <w:spacing w:before="120" w:after="0"/>
        <w:jc w:val="both"/>
        <w:rPr>
          <w:rFonts w:ascii="Times New Roman" w:hAnsi="Times New Roman"/>
          <w:sz w:val="20"/>
        </w:rPr>
      </w:pPr>
      <w:r>
        <w:rPr>
          <w:rFonts w:ascii="Times New Roman" w:hAnsi="Times New Roman"/>
          <w:sz w:val="20"/>
        </w:rPr>
        <w:t xml:space="preserve">From July 29, 2023 through the date of this prospectus, the registrant has granted to its employees, directors, consultants and other service providers options to purchase an aggregate of 3,001,678 shares of its common stock under the 2023 Plan, with exercise prices ranging from $1.58 to $9.29 per share. The issuances of the securities described above were deemed to be exempt from registration pursuant to Section 4(a)(2) of the Securities Act or Rule 701 promulgated under the Securities Act as transactions pursuant to compensatory benefit plans. The shares of the registrant’s common stock issued upon the exercise of options are deemed to be restricted securities for purposes of the Securities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203"/>
        <w:gridCol w:w="9289"/>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(b)</w:t>
            </w:r>
          </w:p>
        </w:tc>
        <w:tc>
          <w:tcPr>
            <w:tcW w:w="203"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Preferred Stock </w:t>
            </w:r>
          </w:p>
        </w:tc>
      </w:tr>
    </w:tbl>
    <w:p>
      <w:pPr>
        <w:pStyle w:val="TextBody"/>
        <w:bidi w:val="0"/>
        <w:spacing w:before="120" w:after="0"/>
        <w:jc w:val="both"/>
        <w:rPr>
          <w:rFonts w:ascii="Times New Roman" w:hAnsi="Times New Roman"/>
          <w:sz w:val="20"/>
        </w:rPr>
      </w:pPr>
      <w:r>
        <w:rPr>
          <w:rFonts w:ascii="Times New Roman" w:hAnsi="Times New Roman"/>
          <w:sz w:val="20"/>
        </w:rPr>
        <w:t xml:space="preserve">In two closings in June 2023 and January 2024, the registrant sold an aggregate of 30,425,000 shares of its Series A-1 redeemable convertible preferred stock (Series A-1 Preferred Stock) at a price per share of $1.00 and 27,659,090 shares of its Series A-2 redeemable convertible preferred stock (Series A-2 Preferred Stock and together with the Series A-1 Preferred Stock, the Series A Preferred Stock) at a price per share of $1.10 for total gross proceeds of approximately $60.8 million (the Series A Preferred Stock Financing). Each share of Series A Preferred Stock will automatically convert into one share of the registrant’s common stock in connection with the completion of this offering. Pursuant to the current investors’ rights agreement, holders of the Series A Preferred Stock are entitled to certain registration rights. These transactions were exempt from the registration requirements of the Securities Act in reliance upon Section 4(a)(2) of the Securities Act or Regulation D promulgated under the Securities Act. </w:t>
      </w:r>
    </w:p>
    <w:p>
      <w:pPr>
        <w:pStyle w:val="TextBody"/>
        <w:bidi w:val="0"/>
        <w:spacing w:before="240" w:after="0"/>
        <w:jc w:val="both"/>
        <w:rPr>
          <w:rFonts w:ascii="Times New Roman" w:hAnsi="Times New Roman"/>
          <w:sz w:val="20"/>
        </w:rPr>
      </w:pPr>
      <w:r>
        <w:rPr>
          <w:rFonts w:ascii="Times New Roman" w:hAnsi="Times New Roman"/>
          <w:sz w:val="20"/>
        </w:rPr>
        <w:t xml:space="preserve">In two closings in May 2024 and January 2025, the registrant sold an aggregate of 76,363,636 shares of its Series B redeemable convertible preferred stock (Series B Preferred Stock) at a price per share of $1.375 for total gross proceeds of approximately $105.0 million (the Series B Preferred Stock Financing). The Series B Financing is split into two equal tranches of $52.5 million, the first of which funded on May 1, 2024 and the second of which funded on January 21, 2025. Each share of Series B Preferred Stock will automatically convert into one share of the registrant’s common stock in connection with the completion of this offering. Pursuant to our current investors’ rights agreement, holders of our Series B Preferred Stock are entitled to certain registration rights. These transactions were exempt from the registration requirements of the Securities Act in reliance upon Section 4(a)(2) of the Securities Act or Regulation D promulgated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In a closing in March 2025, the registrant sold an aggregate of 65,454,544 shares of its Series C redeemable convertible preferred stock (Series C Preferred Stock) at a price per share of $1.375 for total gross proceeds of approximately $90.0 million (the Series C Preferred Stock Financing). Each share of Series C Preferred Stock will automatically convert into one share of the registrant’s common stock in connection with the completion of this offering. Pursuant to our current investors’ rights agreement, holders of our Series C Preferred Stock are entitled to certain registration rights. These transactions were exempt from the registration requirements of the Securities Act in reliance upon Section 4(a)(2) of the Securities Act or Regulation D promulgated under the Securities Act. </w:t>
      </w:r>
    </w:p>
    <w:p>
      <w:pPr>
        <w:pStyle w:val="TextBody"/>
        <w:bidi w:val="0"/>
        <w:spacing w:before="240" w:after="0"/>
        <w:jc w:val="both"/>
        <w:rPr>
          <w:rFonts w:ascii="Times New Roman" w:hAnsi="Times New Roman"/>
          <w:sz w:val="20"/>
        </w:rPr>
      </w:pPr>
      <w:r>
        <w:rPr>
          <w:rFonts w:ascii="Times New Roman" w:hAnsi="Times New Roman"/>
          <w:sz w:val="20"/>
        </w:rPr>
        <w:t xml:space="preserve">None of the foregoing transactions involved any underwriters, underwriting discounts or commissions or any public offering, and the registrant believes each transaction was exempt from the registration requirements of the Securities Act as stated above. All recipients of the foregoing transactions either received adequate information about the registrant or had access, through their relationships with the registrant, to such information. Furthermore, the registrant affixed appropriate legends to the share certificates and instruments issued in each foregoing transaction setting forth that the securities had not been registered and the applicable restrictions on transfer.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203"/>
        <w:gridCol w:w="9289"/>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(c)</w:t>
            </w:r>
          </w:p>
        </w:tc>
        <w:tc>
          <w:tcPr>
            <w:tcW w:w="203"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Common Stock </w:t>
            </w:r>
          </w:p>
        </w:tc>
      </w:tr>
    </w:tbl>
    <w:p>
      <w:pPr>
        <w:pStyle w:val="TextBody"/>
        <w:bidi w:val="0"/>
        <w:spacing w:before="120" w:after="0"/>
        <w:jc w:val="both"/>
        <w:rPr>
          <w:rFonts w:ascii="Times New Roman" w:hAnsi="Times New Roman"/>
          <w:sz w:val="20"/>
        </w:rPr>
      </w:pPr>
      <w:r>
        <w:rPr>
          <w:rFonts w:ascii="Times New Roman" w:hAnsi="Times New Roman"/>
          <w:sz w:val="20"/>
        </w:rPr>
        <w:t xml:space="preserve">From July 29, 2023 through the date of this prospectus, the registrant has issued an aggregate of 273,741 shares of common stock for cash with purchase prices ranging from $1.58 to $4.94 per share. The issuances of the securities described above were deemed to be exempt from registration pursuant to Section 4(a)(2) of the Securities Act or Rule 701 promulgated under the Securities Act as transactions pursuant to compensatory benefit plans.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and Financial Statement Schedules. </w:t>
      </w:r>
    </w:p>
    <w:p>
      <w:pPr>
        <w:pStyle w:val="TextBody"/>
        <w:bidi w:val="0"/>
        <w:spacing w:before="120" w:after="0"/>
        <w:jc w:val="left"/>
        <w:rPr>
          <w:rFonts w:ascii="Times New Roman" w:hAnsi="Times New Roman"/>
          <w:b/>
          <w:i/>
          <w:sz w:val="20"/>
        </w:rPr>
      </w:pPr>
      <w:r>
        <w:rPr>
          <w:rFonts w:ascii="Times New Roman" w:hAnsi="Times New Roman"/>
          <w:b/>
          <w:i/>
          <w:sz w:val="20"/>
        </w:rPr>
        <w:t xml:space="preserve">(a)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6"/>
        <w:gridCol w:w="880"/>
        <w:gridCol w:w="8709"/>
      </w:tblGrid>
      <w:tr>
        <w:trPr/>
        <w:tc>
          <w:tcPr>
            <w:tcW w:w="616" w:type="dxa"/>
            <w:tcBorders/>
            <w:vAlign w:val="center"/>
          </w:tcPr>
          <w:p>
            <w:pPr>
              <w:pStyle w:val="TableContents"/>
              <w:bidi w:val="0"/>
              <w:spacing w:before="0" w:after="283"/>
              <w:jc w:val="left"/>
              <w:rPr>
                <w:sz w:val="4"/>
                <w:szCs w:val="4"/>
              </w:rPr>
            </w:pPr>
            <w:r>
              <w:rPr>
                <w:sz w:val="4"/>
                <w:szCs w:val="4"/>
              </w:rPr>
            </w:r>
          </w:p>
        </w:tc>
        <w:tc>
          <w:tcPr>
            <w:tcW w:w="880" w:type="dxa"/>
            <w:tcBorders/>
            <w:vAlign w:val="bottom"/>
          </w:tcPr>
          <w:p>
            <w:pPr>
              <w:pStyle w:val="TableContents"/>
              <w:bidi w:val="0"/>
              <w:spacing w:before="0" w:after="283"/>
              <w:jc w:val="left"/>
              <w:rPr>
                <w:sz w:val="4"/>
                <w:szCs w:val="4"/>
              </w:rPr>
            </w:pPr>
            <w:r>
              <w:rPr>
                <w:sz w:val="4"/>
                <w:szCs w:val="4"/>
              </w:rPr>
            </w:r>
          </w:p>
        </w:tc>
        <w:tc>
          <w:tcPr>
            <w:tcW w:w="8709" w:type="dxa"/>
            <w:tcBorders/>
            <w:vAlign w:val="center"/>
          </w:tcPr>
          <w:p>
            <w:pPr>
              <w:pStyle w:val="TableContents"/>
              <w:bidi w:val="0"/>
              <w:spacing w:before="0" w:after="283"/>
              <w:jc w:val="left"/>
              <w:rPr>
                <w:sz w:val="4"/>
                <w:szCs w:val="4"/>
              </w:rPr>
            </w:pPr>
            <w:r>
              <w:rPr>
                <w:sz w:val="4"/>
                <w:szCs w:val="4"/>
              </w:rPr>
            </w:r>
          </w:p>
        </w:tc>
      </w:tr>
      <w:tr>
        <w:trPr/>
        <w:tc>
          <w:tcPr>
            <w:tcW w:w="616"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Number</w:t>
            </w:r>
          </w:p>
        </w:tc>
        <w:tc>
          <w:tcPr>
            <w:tcW w:w="880" w:type="dxa"/>
            <w:tcBorders/>
            <w:vAlign w:val="bottom"/>
          </w:tcPr>
          <w:p>
            <w:pPr>
              <w:pStyle w:val="TableContents"/>
              <w:bidi w:val="0"/>
              <w:spacing w:before="0" w:after="283"/>
              <w:jc w:val="left"/>
              <w:rPr/>
            </w:pPr>
            <w:r>
              <w:rPr/>
              <w:t>  </w:t>
            </w:r>
          </w:p>
        </w:tc>
        <w:tc>
          <w:tcPr>
            <w:tcW w:w="870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 of Exhibit</w:t>
            </w:r>
          </w:p>
        </w:tc>
      </w:tr>
      <w:tr>
        <w:trPr>
          <w:trHeight w:val="30" w:hRule="atLeast"/>
        </w:trPr>
        <w:tc>
          <w:tcPr>
            <w:tcW w:w="616" w:type="dxa"/>
            <w:tcBorders/>
            <w:vAlign w:val="center"/>
          </w:tcPr>
          <w:p>
            <w:pPr>
              <w:pStyle w:val="TableContents"/>
              <w:bidi w:val="0"/>
              <w:spacing w:before="0" w:after="283"/>
              <w:jc w:val="left"/>
              <w:rPr>
                <w:sz w:val="4"/>
                <w:szCs w:val="4"/>
              </w:rPr>
            </w:pPr>
            <w:r>
              <w:rPr>
                <w:sz w:val="4"/>
                <w:szCs w:val="4"/>
              </w:rPr>
            </w:r>
          </w:p>
        </w:tc>
        <w:tc>
          <w:tcPr>
            <w:tcW w:w="9589"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 </w:t>
            </w:r>
            <w:r>
              <w:rPr/>
              <w:t>1.1*</w:t>
            </w:r>
          </w:p>
        </w:tc>
        <w:tc>
          <w:tcPr>
            <w:tcW w:w="880" w:type="dxa"/>
            <w:tcBorders/>
            <w:vAlign w:val="bottom"/>
          </w:tcPr>
          <w:p>
            <w:pPr>
              <w:pStyle w:val="TableContents"/>
              <w:bidi w:val="0"/>
              <w:spacing w:before="0" w:after="283"/>
              <w:jc w:val="left"/>
              <w:rPr/>
            </w:pPr>
            <w:r>
              <w:rPr/>
              <w:t>  </w:t>
            </w:r>
          </w:p>
        </w:tc>
        <w:tc>
          <w:tcPr>
            <w:tcW w:w="8709" w:type="dxa"/>
            <w:tcBorders/>
          </w:tcPr>
          <w:p>
            <w:pPr>
              <w:pStyle w:val="TableContents"/>
              <w:bidi w:val="0"/>
              <w:spacing w:before="0" w:after="283"/>
              <w:jc w:val="left"/>
              <w:rPr/>
            </w:pPr>
            <w:hyperlink r:id="rId43">
              <w:r>
                <w:rPr>
                  <w:rStyle w:val="InternetLink"/>
                </w:rPr>
                <w:t xml:space="preserve">Form of Underwriting Agreement. </w:t>
              </w:r>
            </w:hyperlink>
          </w:p>
        </w:tc>
      </w:tr>
      <w:tr>
        <w:trPr>
          <w:trHeight w:val="120" w:hRule="atLeast"/>
        </w:trPr>
        <w:tc>
          <w:tcPr>
            <w:tcW w:w="616" w:type="dxa"/>
            <w:tcBorders/>
            <w:vAlign w:val="center"/>
          </w:tcPr>
          <w:p>
            <w:pPr>
              <w:pStyle w:val="TableContents"/>
              <w:bidi w:val="0"/>
              <w:spacing w:before="0" w:after="283"/>
              <w:jc w:val="left"/>
              <w:rPr>
                <w:sz w:val="4"/>
                <w:szCs w:val="4"/>
              </w:rPr>
            </w:pPr>
            <w:r>
              <w:rPr>
                <w:sz w:val="4"/>
                <w:szCs w:val="4"/>
              </w:rPr>
            </w:r>
          </w:p>
        </w:tc>
        <w:tc>
          <w:tcPr>
            <w:tcW w:w="9589"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 </w:t>
            </w:r>
            <w:r>
              <w:rPr/>
              <w:t>3.1*</w:t>
            </w:r>
          </w:p>
        </w:tc>
        <w:tc>
          <w:tcPr>
            <w:tcW w:w="880" w:type="dxa"/>
            <w:tcBorders/>
            <w:vAlign w:val="bottom"/>
          </w:tcPr>
          <w:p>
            <w:pPr>
              <w:pStyle w:val="TableContents"/>
              <w:bidi w:val="0"/>
              <w:spacing w:before="0" w:after="283"/>
              <w:jc w:val="left"/>
              <w:rPr/>
            </w:pPr>
            <w:r>
              <w:rPr/>
              <w:t>  </w:t>
            </w:r>
          </w:p>
        </w:tc>
        <w:tc>
          <w:tcPr>
            <w:tcW w:w="8709" w:type="dxa"/>
            <w:tcBorders/>
          </w:tcPr>
          <w:p>
            <w:pPr>
              <w:pStyle w:val="TableContents"/>
              <w:bidi w:val="0"/>
              <w:spacing w:before="0" w:after="283"/>
              <w:jc w:val="left"/>
              <w:rPr/>
            </w:pPr>
            <w:hyperlink r:id="rId44">
              <w:r>
                <w:rPr>
                  <w:rStyle w:val="InternetLink"/>
                </w:rPr>
                <w:t xml:space="preserve">Amended and Restated Certificate of Incorporation, as amended, as currently in effect. </w:t>
              </w:r>
            </w:hyperlink>
          </w:p>
        </w:tc>
      </w:tr>
      <w:tr>
        <w:trPr>
          <w:trHeight w:val="120" w:hRule="atLeast"/>
        </w:trPr>
        <w:tc>
          <w:tcPr>
            <w:tcW w:w="616" w:type="dxa"/>
            <w:tcBorders/>
            <w:vAlign w:val="center"/>
          </w:tcPr>
          <w:p>
            <w:pPr>
              <w:pStyle w:val="TableContents"/>
              <w:bidi w:val="0"/>
              <w:spacing w:before="0" w:after="283"/>
              <w:jc w:val="left"/>
              <w:rPr>
                <w:sz w:val="4"/>
                <w:szCs w:val="4"/>
              </w:rPr>
            </w:pPr>
            <w:r>
              <w:rPr>
                <w:sz w:val="4"/>
                <w:szCs w:val="4"/>
              </w:rPr>
            </w:r>
          </w:p>
        </w:tc>
        <w:tc>
          <w:tcPr>
            <w:tcW w:w="9589"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 </w:t>
            </w:r>
            <w:r>
              <w:rPr/>
              <w:t>3.2*</w:t>
            </w:r>
          </w:p>
        </w:tc>
        <w:tc>
          <w:tcPr>
            <w:tcW w:w="880" w:type="dxa"/>
            <w:tcBorders/>
            <w:vAlign w:val="bottom"/>
          </w:tcPr>
          <w:p>
            <w:pPr>
              <w:pStyle w:val="TableContents"/>
              <w:bidi w:val="0"/>
              <w:spacing w:before="0" w:after="283"/>
              <w:jc w:val="left"/>
              <w:rPr/>
            </w:pPr>
            <w:r>
              <w:rPr/>
              <w:t>  </w:t>
            </w:r>
          </w:p>
        </w:tc>
        <w:tc>
          <w:tcPr>
            <w:tcW w:w="8709" w:type="dxa"/>
            <w:tcBorders/>
          </w:tcPr>
          <w:p>
            <w:pPr>
              <w:pStyle w:val="TableContents"/>
              <w:bidi w:val="0"/>
              <w:spacing w:before="0" w:after="283"/>
              <w:jc w:val="left"/>
              <w:rPr/>
            </w:pPr>
            <w:hyperlink r:id="rId45">
              <w:r>
                <w:rPr>
                  <w:rStyle w:val="InternetLink"/>
                </w:rPr>
                <w:t>Form of Restated Certificate of Incorporation to be effective upon the completion of this offering.</w:t>
              </w:r>
            </w:hyperlink>
          </w:p>
        </w:tc>
      </w:tr>
      <w:tr>
        <w:trPr>
          <w:trHeight w:val="120" w:hRule="atLeast"/>
        </w:trPr>
        <w:tc>
          <w:tcPr>
            <w:tcW w:w="616" w:type="dxa"/>
            <w:tcBorders/>
            <w:vAlign w:val="center"/>
          </w:tcPr>
          <w:p>
            <w:pPr>
              <w:pStyle w:val="TableContents"/>
              <w:bidi w:val="0"/>
              <w:spacing w:before="0" w:after="283"/>
              <w:jc w:val="left"/>
              <w:rPr>
                <w:sz w:val="4"/>
                <w:szCs w:val="4"/>
              </w:rPr>
            </w:pPr>
            <w:r>
              <w:rPr>
                <w:sz w:val="4"/>
                <w:szCs w:val="4"/>
              </w:rPr>
            </w:r>
          </w:p>
        </w:tc>
        <w:tc>
          <w:tcPr>
            <w:tcW w:w="9589"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 </w:t>
            </w:r>
            <w:r>
              <w:rPr/>
              <w:t>3.3*</w:t>
            </w:r>
          </w:p>
        </w:tc>
        <w:tc>
          <w:tcPr>
            <w:tcW w:w="880" w:type="dxa"/>
            <w:tcBorders/>
            <w:vAlign w:val="bottom"/>
          </w:tcPr>
          <w:p>
            <w:pPr>
              <w:pStyle w:val="TableContents"/>
              <w:bidi w:val="0"/>
              <w:spacing w:before="0" w:after="283"/>
              <w:jc w:val="left"/>
              <w:rPr/>
            </w:pPr>
            <w:r>
              <w:rPr/>
              <w:t>  </w:t>
            </w:r>
          </w:p>
        </w:tc>
        <w:tc>
          <w:tcPr>
            <w:tcW w:w="8709" w:type="dxa"/>
            <w:tcBorders/>
          </w:tcPr>
          <w:p>
            <w:pPr>
              <w:pStyle w:val="TableContents"/>
              <w:bidi w:val="0"/>
              <w:spacing w:before="0" w:after="283"/>
              <w:jc w:val="left"/>
              <w:rPr/>
            </w:pPr>
            <w:hyperlink r:id="rId46">
              <w:r>
                <w:rPr>
                  <w:rStyle w:val="InternetLink"/>
                </w:rPr>
                <w:t>Bylaws, as currently in effect.</w:t>
              </w:r>
            </w:hyperlink>
          </w:p>
        </w:tc>
      </w:tr>
      <w:tr>
        <w:trPr>
          <w:trHeight w:val="120" w:hRule="atLeast"/>
        </w:trPr>
        <w:tc>
          <w:tcPr>
            <w:tcW w:w="616" w:type="dxa"/>
            <w:tcBorders/>
            <w:vAlign w:val="center"/>
          </w:tcPr>
          <w:p>
            <w:pPr>
              <w:pStyle w:val="TableContents"/>
              <w:bidi w:val="0"/>
              <w:spacing w:before="0" w:after="283"/>
              <w:jc w:val="left"/>
              <w:rPr>
                <w:sz w:val="4"/>
                <w:szCs w:val="4"/>
              </w:rPr>
            </w:pPr>
            <w:r>
              <w:rPr>
                <w:sz w:val="4"/>
                <w:szCs w:val="4"/>
              </w:rPr>
            </w:r>
          </w:p>
        </w:tc>
        <w:tc>
          <w:tcPr>
            <w:tcW w:w="9589"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 </w:t>
            </w:r>
            <w:r>
              <w:rPr/>
              <w:t>3.4*</w:t>
            </w:r>
          </w:p>
        </w:tc>
        <w:tc>
          <w:tcPr>
            <w:tcW w:w="880" w:type="dxa"/>
            <w:tcBorders/>
            <w:vAlign w:val="bottom"/>
          </w:tcPr>
          <w:p>
            <w:pPr>
              <w:pStyle w:val="TableContents"/>
              <w:bidi w:val="0"/>
              <w:spacing w:before="0" w:after="283"/>
              <w:jc w:val="left"/>
              <w:rPr/>
            </w:pPr>
            <w:r>
              <w:rPr/>
              <w:t>  </w:t>
            </w:r>
          </w:p>
        </w:tc>
        <w:tc>
          <w:tcPr>
            <w:tcW w:w="8709" w:type="dxa"/>
            <w:tcBorders/>
          </w:tcPr>
          <w:p>
            <w:pPr>
              <w:pStyle w:val="TableContents"/>
              <w:bidi w:val="0"/>
              <w:spacing w:before="0" w:after="283"/>
              <w:jc w:val="left"/>
              <w:rPr/>
            </w:pPr>
            <w:hyperlink r:id="rId47">
              <w:r>
                <w:rPr>
                  <w:rStyle w:val="InternetLink"/>
                </w:rPr>
                <w:t>Form of Restated Bylaws, to be effective upon the completion of this offering.</w:t>
              </w:r>
            </w:hyperlink>
          </w:p>
        </w:tc>
      </w:tr>
      <w:tr>
        <w:trPr>
          <w:trHeight w:val="120" w:hRule="atLeast"/>
        </w:trPr>
        <w:tc>
          <w:tcPr>
            <w:tcW w:w="616" w:type="dxa"/>
            <w:tcBorders/>
            <w:vAlign w:val="center"/>
          </w:tcPr>
          <w:p>
            <w:pPr>
              <w:pStyle w:val="TableContents"/>
              <w:bidi w:val="0"/>
              <w:spacing w:before="0" w:after="283"/>
              <w:jc w:val="left"/>
              <w:rPr>
                <w:sz w:val="4"/>
                <w:szCs w:val="4"/>
              </w:rPr>
            </w:pPr>
            <w:r>
              <w:rPr>
                <w:sz w:val="4"/>
                <w:szCs w:val="4"/>
              </w:rPr>
            </w:r>
          </w:p>
        </w:tc>
        <w:tc>
          <w:tcPr>
            <w:tcW w:w="9589"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 </w:t>
            </w:r>
            <w:r>
              <w:rPr/>
              <w:t>4.1*</w:t>
            </w:r>
          </w:p>
        </w:tc>
        <w:tc>
          <w:tcPr>
            <w:tcW w:w="880" w:type="dxa"/>
            <w:tcBorders/>
            <w:vAlign w:val="bottom"/>
          </w:tcPr>
          <w:p>
            <w:pPr>
              <w:pStyle w:val="TableContents"/>
              <w:bidi w:val="0"/>
              <w:spacing w:before="0" w:after="283"/>
              <w:jc w:val="left"/>
              <w:rPr/>
            </w:pPr>
            <w:r>
              <w:rPr/>
              <w:t>  </w:t>
            </w:r>
          </w:p>
        </w:tc>
        <w:tc>
          <w:tcPr>
            <w:tcW w:w="8709" w:type="dxa"/>
            <w:tcBorders/>
          </w:tcPr>
          <w:p>
            <w:pPr>
              <w:pStyle w:val="TableContents"/>
              <w:bidi w:val="0"/>
              <w:spacing w:before="0" w:after="283"/>
              <w:jc w:val="left"/>
              <w:rPr/>
            </w:pPr>
            <w:hyperlink r:id="rId48">
              <w:r>
                <w:rPr>
                  <w:rStyle w:val="InternetLink"/>
                </w:rPr>
                <w:t xml:space="preserve">Form of Common Stock Certificate. </w:t>
              </w:r>
            </w:hyperlink>
          </w:p>
        </w:tc>
      </w:tr>
      <w:tr>
        <w:trPr>
          <w:trHeight w:val="120" w:hRule="atLeast"/>
        </w:trPr>
        <w:tc>
          <w:tcPr>
            <w:tcW w:w="616" w:type="dxa"/>
            <w:tcBorders/>
            <w:vAlign w:val="center"/>
          </w:tcPr>
          <w:p>
            <w:pPr>
              <w:pStyle w:val="TableContents"/>
              <w:bidi w:val="0"/>
              <w:spacing w:before="0" w:after="283"/>
              <w:jc w:val="left"/>
              <w:rPr>
                <w:sz w:val="4"/>
                <w:szCs w:val="4"/>
              </w:rPr>
            </w:pPr>
            <w:r>
              <w:rPr>
                <w:sz w:val="4"/>
                <w:szCs w:val="4"/>
              </w:rPr>
            </w:r>
          </w:p>
        </w:tc>
        <w:tc>
          <w:tcPr>
            <w:tcW w:w="9589"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 </w:t>
            </w:r>
            <w:r>
              <w:rPr/>
              <w:t>4.2*</w:t>
            </w:r>
          </w:p>
        </w:tc>
        <w:tc>
          <w:tcPr>
            <w:tcW w:w="880" w:type="dxa"/>
            <w:tcBorders/>
            <w:vAlign w:val="bottom"/>
          </w:tcPr>
          <w:p>
            <w:pPr>
              <w:pStyle w:val="TableContents"/>
              <w:bidi w:val="0"/>
              <w:spacing w:before="0" w:after="283"/>
              <w:jc w:val="left"/>
              <w:rPr/>
            </w:pPr>
            <w:r>
              <w:rPr/>
              <w:t>  </w:t>
            </w:r>
          </w:p>
        </w:tc>
        <w:tc>
          <w:tcPr>
            <w:tcW w:w="8709" w:type="dxa"/>
            <w:tcBorders/>
          </w:tcPr>
          <w:p>
            <w:pPr>
              <w:pStyle w:val="TableContents"/>
              <w:bidi w:val="0"/>
              <w:spacing w:before="0" w:after="283"/>
              <w:jc w:val="left"/>
              <w:rPr/>
            </w:pPr>
            <w:hyperlink r:id="rId49">
              <w:r>
                <w:rPr>
                  <w:rStyle w:val="InternetLink"/>
                </w:rPr>
                <w:t>Amended and Restated Investors’ Rights Agreement, dated March  31, 2025, by and among the Registrant and certain of its stockholders.</w:t>
              </w:r>
            </w:hyperlink>
          </w:p>
        </w:tc>
      </w:tr>
      <w:tr>
        <w:trPr>
          <w:trHeight w:val="120" w:hRule="atLeast"/>
        </w:trPr>
        <w:tc>
          <w:tcPr>
            <w:tcW w:w="616" w:type="dxa"/>
            <w:tcBorders/>
            <w:vAlign w:val="center"/>
          </w:tcPr>
          <w:p>
            <w:pPr>
              <w:pStyle w:val="TableContents"/>
              <w:bidi w:val="0"/>
              <w:spacing w:before="0" w:after="283"/>
              <w:jc w:val="left"/>
              <w:rPr>
                <w:sz w:val="4"/>
                <w:szCs w:val="4"/>
              </w:rPr>
            </w:pPr>
            <w:r>
              <w:rPr>
                <w:sz w:val="4"/>
                <w:szCs w:val="4"/>
              </w:rPr>
            </w:r>
          </w:p>
        </w:tc>
        <w:tc>
          <w:tcPr>
            <w:tcW w:w="9589"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 </w:t>
            </w:r>
            <w:r>
              <w:rPr/>
              <w:t>5.1</w:t>
            </w:r>
          </w:p>
        </w:tc>
        <w:tc>
          <w:tcPr>
            <w:tcW w:w="880" w:type="dxa"/>
            <w:tcBorders/>
            <w:vAlign w:val="bottom"/>
          </w:tcPr>
          <w:p>
            <w:pPr>
              <w:pStyle w:val="TableContents"/>
              <w:bidi w:val="0"/>
              <w:spacing w:before="0" w:after="283"/>
              <w:jc w:val="left"/>
              <w:rPr/>
            </w:pPr>
            <w:r>
              <w:rPr/>
              <w:t>  </w:t>
            </w:r>
          </w:p>
        </w:tc>
        <w:tc>
          <w:tcPr>
            <w:tcW w:w="8709" w:type="dxa"/>
            <w:tcBorders/>
          </w:tcPr>
          <w:p>
            <w:pPr>
              <w:pStyle w:val="TableContents"/>
              <w:bidi w:val="0"/>
              <w:spacing w:before="0" w:after="283"/>
              <w:jc w:val="left"/>
              <w:rPr/>
            </w:pPr>
            <w:hyperlink w:anchor="d40469dex51.htm">
              <w:r>
                <w:rPr>
                  <w:rStyle w:val="InternetLink"/>
                </w:rPr>
                <w:t xml:space="preserve">Opinion of Fenwick &amp; West LLP. </w:t>
              </w:r>
            </w:hyperlink>
          </w:p>
        </w:tc>
      </w:tr>
      <w:tr>
        <w:trPr>
          <w:trHeight w:val="120" w:hRule="atLeast"/>
        </w:trPr>
        <w:tc>
          <w:tcPr>
            <w:tcW w:w="616" w:type="dxa"/>
            <w:tcBorders/>
            <w:vAlign w:val="center"/>
          </w:tcPr>
          <w:p>
            <w:pPr>
              <w:pStyle w:val="TableContents"/>
              <w:bidi w:val="0"/>
              <w:spacing w:before="0" w:after="283"/>
              <w:jc w:val="left"/>
              <w:rPr>
                <w:sz w:val="4"/>
                <w:szCs w:val="4"/>
              </w:rPr>
            </w:pPr>
            <w:r>
              <w:rPr>
                <w:sz w:val="4"/>
                <w:szCs w:val="4"/>
              </w:rPr>
            </w:r>
          </w:p>
        </w:tc>
        <w:tc>
          <w:tcPr>
            <w:tcW w:w="9589"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10.1*</w:t>
            </w:r>
          </w:p>
        </w:tc>
        <w:tc>
          <w:tcPr>
            <w:tcW w:w="880" w:type="dxa"/>
            <w:tcBorders/>
            <w:vAlign w:val="bottom"/>
          </w:tcPr>
          <w:p>
            <w:pPr>
              <w:pStyle w:val="TableContents"/>
              <w:bidi w:val="0"/>
              <w:spacing w:before="0" w:after="283"/>
              <w:jc w:val="left"/>
              <w:rPr/>
            </w:pPr>
            <w:r>
              <w:rPr/>
              <w:t>  </w:t>
            </w:r>
          </w:p>
        </w:tc>
        <w:tc>
          <w:tcPr>
            <w:tcW w:w="8709" w:type="dxa"/>
            <w:tcBorders/>
          </w:tcPr>
          <w:p>
            <w:pPr>
              <w:pStyle w:val="TableContents"/>
              <w:bidi w:val="0"/>
              <w:spacing w:before="0" w:after="283"/>
              <w:jc w:val="left"/>
              <w:rPr/>
            </w:pPr>
            <w:hyperlink r:id="rId50">
              <w:r>
                <w:rPr>
                  <w:rStyle w:val="InternetLink"/>
                </w:rPr>
                <w:t>Form of Indemnity Agreement.</w:t>
              </w:r>
            </w:hyperlink>
          </w:p>
        </w:tc>
      </w:tr>
      <w:tr>
        <w:trPr>
          <w:trHeight w:val="120" w:hRule="atLeast"/>
        </w:trPr>
        <w:tc>
          <w:tcPr>
            <w:tcW w:w="616" w:type="dxa"/>
            <w:tcBorders/>
            <w:vAlign w:val="center"/>
          </w:tcPr>
          <w:p>
            <w:pPr>
              <w:pStyle w:val="TableContents"/>
              <w:bidi w:val="0"/>
              <w:spacing w:before="0" w:after="283"/>
              <w:jc w:val="left"/>
              <w:rPr>
                <w:sz w:val="4"/>
                <w:szCs w:val="4"/>
              </w:rPr>
            </w:pPr>
            <w:r>
              <w:rPr>
                <w:sz w:val="4"/>
                <w:szCs w:val="4"/>
              </w:rPr>
            </w:r>
          </w:p>
        </w:tc>
        <w:tc>
          <w:tcPr>
            <w:tcW w:w="9589"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10.2*</w:t>
            </w:r>
          </w:p>
        </w:tc>
        <w:tc>
          <w:tcPr>
            <w:tcW w:w="880" w:type="dxa"/>
            <w:tcBorders/>
            <w:vAlign w:val="bottom"/>
          </w:tcPr>
          <w:p>
            <w:pPr>
              <w:pStyle w:val="TableContents"/>
              <w:bidi w:val="0"/>
              <w:spacing w:before="0" w:after="283"/>
              <w:jc w:val="left"/>
              <w:rPr/>
            </w:pPr>
            <w:r>
              <w:rPr/>
              <w:t>  </w:t>
            </w:r>
          </w:p>
        </w:tc>
        <w:tc>
          <w:tcPr>
            <w:tcW w:w="8709" w:type="dxa"/>
            <w:tcBorders/>
          </w:tcPr>
          <w:p>
            <w:pPr>
              <w:pStyle w:val="TableContents"/>
              <w:bidi w:val="0"/>
              <w:spacing w:before="0" w:after="283"/>
              <w:jc w:val="left"/>
              <w:rPr/>
            </w:pPr>
            <w:hyperlink r:id="rId51">
              <w:r>
                <w:rPr>
                  <w:rStyle w:val="InternetLink"/>
                </w:rPr>
                <w:t>2023 Equity Incentive Plan, as amended, and forms of award agreements.</w:t>
              </w:r>
            </w:hyperlink>
          </w:p>
        </w:tc>
      </w:tr>
      <w:tr>
        <w:trPr>
          <w:trHeight w:val="120" w:hRule="atLeast"/>
        </w:trPr>
        <w:tc>
          <w:tcPr>
            <w:tcW w:w="616" w:type="dxa"/>
            <w:tcBorders/>
            <w:vAlign w:val="center"/>
          </w:tcPr>
          <w:p>
            <w:pPr>
              <w:pStyle w:val="TableContents"/>
              <w:bidi w:val="0"/>
              <w:spacing w:before="0" w:after="283"/>
              <w:jc w:val="left"/>
              <w:rPr>
                <w:sz w:val="4"/>
                <w:szCs w:val="4"/>
              </w:rPr>
            </w:pPr>
            <w:r>
              <w:rPr>
                <w:sz w:val="4"/>
                <w:szCs w:val="4"/>
              </w:rPr>
            </w:r>
          </w:p>
        </w:tc>
        <w:tc>
          <w:tcPr>
            <w:tcW w:w="9589"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10.3*</w:t>
            </w:r>
          </w:p>
        </w:tc>
        <w:tc>
          <w:tcPr>
            <w:tcW w:w="880" w:type="dxa"/>
            <w:tcBorders/>
            <w:vAlign w:val="bottom"/>
          </w:tcPr>
          <w:p>
            <w:pPr>
              <w:pStyle w:val="TableContents"/>
              <w:bidi w:val="0"/>
              <w:spacing w:before="0" w:after="283"/>
              <w:jc w:val="left"/>
              <w:rPr/>
            </w:pPr>
            <w:r>
              <w:rPr/>
              <w:t>  </w:t>
            </w:r>
          </w:p>
        </w:tc>
        <w:tc>
          <w:tcPr>
            <w:tcW w:w="8709" w:type="dxa"/>
            <w:tcBorders/>
          </w:tcPr>
          <w:p>
            <w:pPr>
              <w:pStyle w:val="TableContents"/>
              <w:bidi w:val="0"/>
              <w:spacing w:before="0" w:after="283"/>
              <w:jc w:val="left"/>
              <w:rPr/>
            </w:pPr>
            <w:hyperlink r:id="rId52">
              <w:r>
                <w:rPr>
                  <w:rStyle w:val="InternetLink"/>
                </w:rPr>
                <w:t xml:space="preserve">2026 Equity Incentive Plan, and forms of award agreements. </w:t>
              </w:r>
            </w:hyperlink>
          </w:p>
        </w:tc>
      </w:tr>
      <w:tr>
        <w:trPr>
          <w:trHeight w:val="120" w:hRule="atLeast"/>
        </w:trPr>
        <w:tc>
          <w:tcPr>
            <w:tcW w:w="616" w:type="dxa"/>
            <w:tcBorders/>
            <w:vAlign w:val="center"/>
          </w:tcPr>
          <w:p>
            <w:pPr>
              <w:pStyle w:val="TableContents"/>
              <w:bidi w:val="0"/>
              <w:spacing w:before="0" w:after="283"/>
              <w:jc w:val="left"/>
              <w:rPr>
                <w:sz w:val="4"/>
                <w:szCs w:val="4"/>
              </w:rPr>
            </w:pPr>
            <w:r>
              <w:rPr>
                <w:sz w:val="4"/>
                <w:szCs w:val="4"/>
              </w:rPr>
            </w:r>
          </w:p>
        </w:tc>
        <w:tc>
          <w:tcPr>
            <w:tcW w:w="9589"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10.4*</w:t>
            </w:r>
          </w:p>
        </w:tc>
        <w:tc>
          <w:tcPr>
            <w:tcW w:w="880" w:type="dxa"/>
            <w:tcBorders/>
            <w:vAlign w:val="bottom"/>
          </w:tcPr>
          <w:p>
            <w:pPr>
              <w:pStyle w:val="TableContents"/>
              <w:bidi w:val="0"/>
              <w:spacing w:before="0" w:after="283"/>
              <w:jc w:val="left"/>
              <w:rPr/>
            </w:pPr>
            <w:r>
              <w:rPr/>
              <w:t>  </w:t>
            </w:r>
          </w:p>
        </w:tc>
        <w:tc>
          <w:tcPr>
            <w:tcW w:w="8709" w:type="dxa"/>
            <w:tcBorders/>
          </w:tcPr>
          <w:p>
            <w:pPr>
              <w:pStyle w:val="TableContents"/>
              <w:bidi w:val="0"/>
              <w:spacing w:before="0" w:after="283"/>
              <w:jc w:val="left"/>
              <w:rPr/>
            </w:pPr>
            <w:hyperlink r:id="rId53">
              <w:r>
                <w:rPr>
                  <w:rStyle w:val="InternetLink"/>
                </w:rPr>
                <w:t xml:space="preserve">2026 Employee Stock Purchase Plan, and forms of award agreements. </w:t>
              </w:r>
            </w:hyperlink>
          </w:p>
        </w:tc>
      </w:tr>
      <w:tr>
        <w:trPr>
          <w:trHeight w:val="120" w:hRule="atLeast"/>
        </w:trPr>
        <w:tc>
          <w:tcPr>
            <w:tcW w:w="616" w:type="dxa"/>
            <w:tcBorders/>
            <w:vAlign w:val="center"/>
          </w:tcPr>
          <w:p>
            <w:pPr>
              <w:pStyle w:val="TableContents"/>
              <w:bidi w:val="0"/>
              <w:spacing w:before="0" w:after="283"/>
              <w:jc w:val="left"/>
              <w:rPr>
                <w:sz w:val="4"/>
                <w:szCs w:val="4"/>
              </w:rPr>
            </w:pPr>
            <w:r>
              <w:rPr>
                <w:sz w:val="4"/>
                <w:szCs w:val="4"/>
              </w:rPr>
            </w:r>
          </w:p>
        </w:tc>
        <w:tc>
          <w:tcPr>
            <w:tcW w:w="9589"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10.5*</w:t>
            </w:r>
          </w:p>
        </w:tc>
        <w:tc>
          <w:tcPr>
            <w:tcW w:w="880" w:type="dxa"/>
            <w:tcBorders/>
            <w:vAlign w:val="bottom"/>
          </w:tcPr>
          <w:p>
            <w:pPr>
              <w:pStyle w:val="TableContents"/>
              <w:bidi w:val="0"/>
              <w:spacing w:before="0" w:after="283"/>
              <w:jc w:val="left"/>
              <w:rPr/>
            </w:pPr>
            <w:r>
              <w:rPr/>
              <w:t>  </w:t>
            </w:r>
          </w:p>
        </w:tc>
        <w:tc>
          <w:tcPr>
            <w:tcW w:w="8709" w:type="dxa"/>
            <w:tcBorders/>
          </w:tcPr>
          <w:p>
            <w:pPr>
              <w:pStyle w:val="TableContents"/>
              <w:bidi w:val="0"/>
              <w:spacing w:before="0" w:after="283"/>
              <w:jc w:val="left"/>
              <w:rPr/>
            </w:pPr>
            <w:hyperlink r:id="rId54">
              <w:r>
                <w:rPr>
                  <w:rStyle w:val="InternetLink"/>
                </w:rPr>
                <w:t>Form of Common Stock Purchase Agreement.</w:t>
              </w:r>
            </w:hyperlink>
          </w:p>
        </w:tc>
      </w:tr>
      <w:tr>
        <w:trPr>
          <w:trHeight w:val="120" w:hRule="atLeast"/>
        </w:trPr>
        <w:tc>
          <w:tcPr>
            <w:tcW w:w="616" w:type="dxa"/>
            <w:tcBorders/>
            <w:vAlign w:val="center"/>
          </w:tcPr>
          <w:p>
            <w:pPr>
              <w:pStyle w:val="TableContents"/>
              <w:bidi w:val="0"/>
              <w:spacing w:before="0" w:after="283"/>
              <w:jc w:val="left"/>
              <w:rPr>
                <w:sz w:val="4"/>
                <w:szCs w:val="4"/>
              </w:rPr>
            </w:pPr>
            <w:r>
              <w:rPr>
                <w:sz w:val="4"/>
                <w:szCs w:val="4"/>
              </w:rPr>
            </w:r>
          </w:p>
        </w:tc>
        <w:tc>
          <w:tcPr>
            <w:tcW w:w="9589"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10.6*</w:t>
            </w:r>
          </w:p>
        </w:tc>
        <w:tc>
          <w:tcPr>
            <w:tcW w:w="880" w:type="dxa"/>
            <w:tcBorders/>
            <w:vAlign w:val="bottom"/>
          </w:tcPr>
          <w:p>
            <w:pPr>
              <w:pStyle w:val="TableContents"/>
              <w:bidi w:val="0"/>
              <w:spacing w:before="0" w:after="283"/>
              <w:jc w:val="left"/>
              <w:rPr/>
            </w:pPr>
            <w:r>
              <w:rPr/>
              <w:t>  </w:t>
            </w:r>
          </w:p>
        </w:tc>
        <w:tc>
          <w:tcPr>
            <w:tcW w:w="8709" w:type="dxa"/>
            <w:tcBorders/>
          </w:tcPr>
          <w:p>
            <w:pPr>
              <w:pStyle w:val="TableContents"/>
              <w:bidi w:val="0"/>
              <w:spacing w:before="0" w:after="283"/>
              <w:jc w:val="left"/>
              <w:rPr/>
            </w:pPr>
            <w:hyperlink r:id="rId55">
              <w:r>
                <w:rPr>
                  <w:rStyle w:val="InternetLink"/>
                </w:rPr>
                <w:t>Confirmatory Offer Letter, dated July 20, 2026, between the Registrant and Tao Fu.</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17"/>
        <w:gridCol w:w="597"/>
        <w:gridCol w:w="8791"/>
      </w:tblGrid>
      <w:tr>
        <w:trPr/>
        <w:tc>
          <w:tcPr>
            <w:tcW w:w="817" w:type="dxa"/>
            <w:tcBorders/>
            <w:vAlign w:val="center"/>
          </w:tcPr>
          <w:p>
            <w:pPr>
              <w:pStyle w:val="TableContents"/>
              <w:bidi w:val="0"/>
              <w:spacing w:before="0" w:after="283"/>
              <w:jc w:val="left"/>
              <w:rPr>
                <w:sz w:val="4"/>
                <w:szCs w:val="4"/>
              </w:rPr>
            </w:pPr>
            <w:r>
              <w:rPr>
                <w:sz w:val="4"/>
                <w:szCs w:val="4"/>
              </w:rPr>
            </w:r>
          </w:p>
        </w:tc>
        <w:tc>
          <w:tcPr>
            <w:tcW w:w="597" w:type="dxa"/>
            <w:tcBorders/>
            <w:vAlign w:val="bottom"/>
          </w:tcPr>
          <w:p>
            <w:pPr>
              <w:pStyle w:val="TableContents"/>
              <w:bidi w:val="0"/>
              <w:spacing w:before="0" w:after="283"/>
              <w:jc w:val="left"/>
              <w:rPr>
                <w:sz w:val="4"/>
                <w:szCs w:val="4"/>
              </w:rPr>
            </w:pPr>
            <w:r>
              <w:rPr>
                <w:sz w:val="4"/>
                <w:szCs w:val="4"/>
              </w:rPr>
            </w:r>
          </w:p>
        </w:tc>
        <w:tc>
          <w:tcPr>
            <w:tcW w:w="8791" w:type="dxa"/>
            <w:tcBorders/>
            <w:vAlign w:val="center"/>
          </w:tcPr>
          <w:p>
            <w:pPr>
              <w:pStyle w:val="TableContents"/>
              <w:bidi w:val="0"/>
              <w:spacing w:before="0" w:after="283"/>
              <w:jc w:val="left"/>
              <w:rPr>
                <w:sz w:val="4"/>
                <w:szCs w:val="4"/>
              </w:rPr>
            </w:pPr>
            <w:r>
              <w:rPr>
                <w:sz w:val="4"/>
                <w:szCs w:val="4"/>
              </w:rPr>
            </w:r>
          </w:p>
        </w:tc>
      </w:tr>
      <w:tr>
        <w:trPr/>
        <w:tc>
          <w:tcPr>
            <w:tcW w:w="817"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Number</w:t>
            </w:r>
          </w:p>
        </w:tc>
        <w:tc>
          <w:tcPr>
            <w:tcW w:w="597" w:type="dxa"/>
            <w:tcBorders/>
            <w:vAlign w:val="bottom"/>
          </w:tcPr>
          <w:p>
            <w:pPr>
              <w:pStyle w:val="TableContents"/>
              <w:bidi w:val="0"/>
              <w:spacing w:before="0" w:after="283"/>
              <w:jc w:val="left"/>
              <w:rPr/>
            </w:pPr>
            <w:r>
              <w:rPr/>
              <w:t>  </w:t>
            </w:r>
          </w:p>
        </w:tc>
        <w:tc>
          <w:tcPr>
            <w:tcW w:w="879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 of Exhibit</w:t>
            </w:r>
          </w:p>
        </w:tc>
      </w:tr>
      <w:tr>
        <w:trPr>
          <w:trHeight w:val="120" w:hRule="atLeast"/>
        </w:trPr>
        <w:tc>
          <w:tcPr>
            <w:tcW w:w="817" w:type="dxa"/>
            <w:tcBorders/>
            <w:vAlign w:val="center"/>
          </w:tcPr>
          <w:p>
            <w:pPr>
              <w:pStyle w:val="TableContents"/>
              <w:bidi w:val="0"/>
              <w:spacing w:before="0" w:after="283"/>
              <w:jc w:val="left"/>
              <w:rPr>
                <w:sz w:val="4"/>
                <w:szCs w:val="4"/>
              </w:rPr>
            </w:pPr>
            <w:r>
              <w:rPr>
                <w:sz w:val="4"/>
                <w:szCs w:val="4"/>
              </w:rPr>
            </w:r>
          </w:p>
        </w:tc>
        <w:tc>
          <w:tcPr>
            <w:tcW w:w="9388" w:type="dxa"/>
            <w:gridSpan w:val="2"/>
            <w:tcBorders/>
            <w:vAlign w:val="center"/>
          </w:tcPr>
          <w:p>
            <w:pPr>
              <w:pStyle w:val="TableContents"/>
              <w:bidi w:val="0"/>
              <w:spacing w:before="0" w:after="283"/>
              <w:jc w:val="left"/>
              <w:rPr>
                <w:sz w:val="4"/>
                <w:szCs w:val="4"/>
              </w:rPr>
            </w:pPr>
            <w:r>
              <w:rPr>
                <w:sz w:val="4"/>
                <w:szCs w:val="4"/>
              </w:rPr>
            </w:r>
          </w:p>
        </w:tc>
      </w:tr>
      <w:tr>
        <w:trPr/>
        <w:tc>
          <w:tcPr>
            <w:tcW w:w="817" w:type="dxa"/>
            <w:tcBorders/>
          </w:tcPr>
          <w:p>
            <w:pPr>
              <w:pStyle w:val="TableContents"/>
              <w:bidi w:val="0"/>
              <w:spacing w:before="0" w:after="283"/>
              <w:jc w:val="left"/>
              <w:rPr/>
            </w:pPr>
            <w:r>
              <w:rPr/>
              <w:t>10.7*</w:t>
            </w:r>
          </w:p>
        </w:tc>
        <w:tc>
          <w:tcPr>
            <w:tcW w:w="597" w:type="dxa"/>
            <w:tcBorders/>
            <w:vAlign w:val="bottom"/>
          </w:tcPr>
          <w:p>
            <w:pPr>
              <w:pStyle w:val="TableContents"/>
              <w:bidi w:val="0"/>
              <w:spacing w:before="0" w:after="283"/>
              <w:jc w:val="left"/>
              <w:rPr/>
            </w:pPr>
            <w:r>
              <w:rPr/>
              <w:t>  </w:t>
            </w:r>
          </w:p>
        </w:tc>
        <w:tc>
          <w:tcPr>
            <w:tcW w:w="8791" w:type="dxa"/>
            <w:tcBorders/>
          </w:tcPr>
          <w:p>
            <w:pPr>
              <w:pStyle w:val="TableContents"/>
              <w:bidi w:val="0"/>
              <w:spacing w:before="0" w:after="283"/>
              <w:jc w:val="left"/>
              <w:rPr/>
            </w:pPr>
            <w:hyperlink r:id="rId56">
              <w:r>
                <w:rPr>
                  <w:rStyle w:val="InternetLink"/>
                </w:rPr>
                <w:t xml:space="preserve">Confirmatory Offer Letter, dated July 20, 2026, between the Registrant and Petter Veiby. </w:t>
              </w:r>
            </w:hyperlink>
          </w:p>
        </w:tc>
      </w:tr>
      <w:tr>
        <w:trPr>
          <w:trHeight w:val="120" w:hRule="atLeast"/>
        </w:trPr>
        <w:tc>
          <w:tcPr>
            <w:tcW w:w="817" w:type="dxa"/>
            <w:tcBorders/>
            <w:vAlign w:val="center"/>
          </w:tcPr>
          <w:p>
            <w:pPr>
              <w:pStyle w:val="TableContents"/>
              <w:bidi w:val="0"/>
              <w:spacing w:before="0" w:after="283"/>
              <w:jc w:val="left"/>
              <w:rPr>
                <w:sz w:val="4"/>
                <w:szCs w:val="4"/>
              </w:rPr>
            </w:pPr>
            <w:r>
              <w:rPr>
                <w:sz w:val="4"/>
                <w:szCs w:val="4"/>
              </w:rPr>
            </w:r>
          </w:p>
        </w:tc>
        <w:tc>
          <w:tcPr>
            <w:tcW w:w="9388" w:type="dxa"/>
            <w:gridSpan w:val="2"/>
            <w:tcBorders/>
            <w:vAlign w:val="center"/>
          </w:tcPr>
          <w:p>
            <w:pPr>
              <w:pStyle w:val="TableContents"/>
              <w:bidi w:val="0"/>
              <w:spacing w:before="0" w:after="283"/>
              <w:jc w:val="left"/>
              <w:rPr>
                <w:sz w:val="4"/>
                <w:szCs w:val="4"/>
              </w:rPr>
            </w:pPr>
            <w:r>
              <w:rPr>
                <w:sz w:val="4"/>
                <w:szCs w:val="4"/>
              </w:rPr>
            </w:r>
          </w:p>
        </w:tc>
      </w:tr>
      <w:tr>
        <w:trPr/>
        <w:tc>
          <w:tcPr>
            <w:tcW w:w="817" w:type="dxa"/>
            <w:tcBorders/>
          </w:tcPr>
          <w:p>
            <w:pPr>
              <w:pStyle w:val="TableContents"/>
              <w:bidi w:val="0"/>
              <w:spacing w:before="0" w:after="283"/>
              <w:jc w:val="left"/>
              <w:rPr/>
            </w:pPr>
            <w:r>
              <w:rPr/>
              <w:t>10.8*</w:t>
            </w:r>
          </w:p>
        </w:tc>
        <w:tc>
          <w:tcPr>
            <w:tcW w:w="597" w:type="dxa"/>
            <w:tcBorders/>
            <w:vAlign w:val="bottom"/>
          </w:tcPr>
          <w:p>
            <w:pPr>
              <w:pStyle w:val="TableContents"/>
              <w:bidi w:val="0"/>
              <w:spacing w:before="0" w:after="283"/>
              <w:jc w:val="left"/>
              <w:rPr/>
            </w:pPr>
            <w:r>
              <w:rPr/>
              <w:t>  </w:t>
            </w:r>
          </w:p>
        </w:tc>
        <w:tc>
          <w:tcPr>
            <w:tcW w:w="8791" w:type="dxa"/>
            <w:tcBorders/>
          </w:tcPr>
          <w:p>
            <w:pPr>
              <w:pStyle w:val="TableContents"/>
              <w:bidi w:val="0"/>
              <w:spacing w:before="0" w:after="283"/>
              <w:jc w:val="left"/>
              <w:rPr/>
            </w:pPr>
            <w:hyperlink r:id="rId57">
              <w:r>
                <w:rPr>
                  <w:rStyle w:val="InternetLink"/>
                </w:rPr>
                <w:t xml:space="preserve">Confirmatory Offer Letter, dated July 20, 2026, between the Registrant and Hubert Chen. </w:t>
              </w:r>
            </w:hyperlink>
          </w:p>
        </w:tc>
      </w:tr>
      <w:tr>
        <w:trPr>
          <w:trHeight w:val="120" w:hRule="atLeast"/>
        </w:trPr>
        <w:tc>
          <w:tcPr>
            <w:tcW w:w="817" w:type="dxa"/>
            <w:tcBorders/>
            <w:vAlign w:val="center"/>
          </w:tcPr>
          <w:p>
            <w:pPr>
              <w:pStyle w:val="TableContents"/>
              <w:bidi w:val="0"/>
              <w:spacing w:before="0" w:after="283"/>
              <w:jc w:val="left"/>
              <w:rPr>
                <w:sz w:val="4"/>
                <w:szCs w:val="4"/>
              </w:rPr>
            </w:pPr>
            <w:r>
              <w:rPr>
                <w:sz w:val="4"/>
                <w:szCs w:val="4"/>
              </w:rPr>
            </w:r>
          </w:p>
        </w:tc>
        <w:tc>
          <w:tcPr>
            <w:tcW w:w="9388" w:type="dxa"/>
            <w:gridSpan w:val="2"/>
            <w:tcBorders/>
            <w:vAlign w:val="center"/>
          </w:tcPr>
          <w:p>
            <w:pPr>
              <w:pStyle w:val="TableContents"/>
              <w:bidi w:val="0"/>
              <w:spacing w:before="0" w:after="283"/>
              <w:jc w:val="left"/>
              <w:rPr>
                <w:sz w:val="4"/>
                <w:szCs w:val="4"/>
              </w:rPr>
            </w:pPr>
            <w:r>
              <w:rPr>
                <w:sz w:val="4"/>
                <w:szCs w:val="4"/>
              </w:rPr>
            </w:r>
          </w:p>
        </w:tc>
      </w:tr>
      <w:tr>
        <w:trPr/>
        <w:tc>
          <w:tcPr>
            <w:tcW w:w="817" w:type="dxa"/>
            <w:tcBorders/>
          </w:tcPr>
          <w:p>
            <w:pPr>
              <w:pStyle w:val="TableContents"/>
              <w:bidi w:val="0"/>
              <w:spacing w:before="0" w:after="283"/>
              <w:jc w:val="left"/>
              <w:rPr/>
            </w:pPr>
            <w:r>
              <w:rPr/>
              <w:t>10.9*</w:t>
            </w:r>
          </w:p>
        </w:tc>
        <w:tc>
          <w:tcPr>
            <w:tcW w:w="597" w:type="dxa"/>
            <w:tcBorders/>
            <w:vAlign w:val="bottom"/>
          </w:tcPr>
          <w:p>
            <w:pPr>
              <w:pStyle w:val="TableContents"/>
              <w:bidi w:val="0"/>
              <w:spacing w:before="0" w:after="283"/>
              <w:jc w:val="left"/>
              <w:rPr/>
            </w:pPr>
            <w:r>
              <w:rPr/>
              <w:t>  </w:t>
            </w:r>
          </w:p>
        </w:tc>
        <w:tc>
          <w:tcPr>
            <w:tcW w:w="8791" w:type="dxa"/>
            <w:tcBorders/>
          </w:tcPr>
          <w:p>
            <w:pPr>
              <w:pStyle w:val="TableContents"/>
              <w:bidi w:val="0"/>
              <w:spacing w:before="0" w:after="20"/>
              <w:jc w:val="left"/>
              <w:rPr/>
            </w:pPr>
            <w:hyperlink r:id="rId58">
              <w:r>
                <w:rPr>
                  <w:rStyle w:val="InternetLink"/>
                  <w:rFonts w:ascii="Times New Roman" w:hAnsi="Times New Roman"/>
                  <w:sz w:val="20"/>
                </w:rPr>
                <w:t xml:space="preserve">Executive Change in Control and Severance Plan. </w:t>
              </w:r>
            </w:hyperlink>
          </w:p>
        </w:tc>
      </w:tr>
      <w:tr>
        <w:trPr>
          <w:trHeight w:val="120" w:hRule="atLeast"/>
        </w:trPr>
        <w:tc>
          <w:tcPr>
            <w:tcW w:w="817" w:type="dxa"/>
            <w:tcBorders/>
            <w:vAlign w:val="center"/>
          </w:tcPr>
          <w:p>
            <w:pPr>
              <w:pStyle w:val="TableContents"/>
              <w:bidi w:val="0"/>
              <w:spacing w:before="0" w:after="283"/>
              <w:jc w:val="left"/>
              <w:rPr>
                <w:sz w:val="4"/>
                <w:szCs w:val="4"/>
              </w:rPr>
            </w:pPr>
            <w:r>
              <w:rPr>
                <w:sz w:val="4"/>
                <w:szCs w:val="4"/>
              </w:rPr>
            </w:r>
          </w:p>
        </w:tc>
        <w:tc>
          <w:tcPr>
            <w:tcW w:w="9388" w:type="dxa"/>
            <w:gridSpan w:val="2"/>
            <w:tcBorders/>
            <w:vAlign w:val="center"/>
          </w:tcPr>
          <w:p>
            <w:pPr>
              <w:pStyle w:val="TableContents"/>
              <w:bidi w:val="0"/>
              <w:spacing w:before="0" w:after="283"/>
              <w:jc w:val="left"/>
              <w:rPr>
                <w:sz w:val="4"/>
                <w:szCs w:val="4"/>
              </w:rPr>
            </w:pPr>
            <w:r>
              <w:rPr>
                <w:sz w:val="4"/>
                <w:szCs w:val="4"/>
              </w:rPr>
            </w:r>
          </w:p>
        </w:tc>
      </w:tr>
      <w:tr>
        <w:trPr/>
        <w:tc>
          <w:tcPr>
            <w:tcW w:w="817" w:type="dxa"/>
            <w:tcBorders/>
          </w:tcPr>
          <w:p>
            <w:pPr>
              <w:pStyle w:val="TableContents"/>
              <w:bidi w:val="0"/>
              <w:spacing w:before="0" w:after="283"/>
              <w:jc w:val="left"/>
              <w:rPr/>
            </w:pPr>
            <w:r>
              <w:rPr/>
              <w:t>10.10*</w:t>
            </w:r>
          </w:p>
        </w:tc>
        <w:tc>
          <w:tcPr>
            <w:tcW w:w="597" w:type="dxa"/>
            <w:tcBorders/>
            <w:vAlign w:val="bottom"/>
          </w:tcPr>
          <w:p>
            <w:pPr>
              <w:pStyle w:val="TableContents"/>
              <w:bidi w:val="0"/>
              <w:spacing w:before="0" w:after="283"/>
              <w:jc w:val="left"/>
              <w:rPr/>
            </w:pPr>
            <w:r>
              <w:rPr/>
              <w:t>  </w:t>
            </w:r>
          </w:p>
        </w:tc>
        <w:tc>
          <w:tcPr>
            <w:tcW w:w="8791" w:type="dxa"/>
            <w:tcBorders/>
          </w:tcPr>
          <w:p>
            <w:pPr>
              <w:pStyle w:val="TableContents"/>
              <w:bidi w:val="0"/>
              <w:spacing w:before="0" w:after="283"/>
              <w:jc w:val="left"/>
              <w:rPr/>
            </w:pPr>
            <w:hyperlink r:id="rId59">
              <w:r>
                <w:rPr>
                  <w:rStyle w:val="InternetLink"/>
                </w:rPr>
                <w:t xml:space="preserve">Non-Employee Director Compensation Policy. </w:t>
              </w:r>
            </w:hyperlink>
          </w:p>
        </w:tc>
      </w:tr>
      <w:tr>
        <w:trPr>
          <w:trHeight w:val="120" w:hRule="atLeast"/>
        </w:trPr>
        <w:tc>
          <w:tcPr>
            <w:tcW w:w="817" w:type="dxa"/>
            <w:tcBorders/>
            <w:vAlign w:val="center"/>
          </w:tcPr>
          <w:p>
            <w:pPr>
              <w:pStyle w:val="TableContents"/>
              <w:bidi w:val="0"/>
              <w:spacing w:before="0" w:after="283"/>
              <w:jc w:val="left"/>
              <w:rPr>
                <w:sz w:val="4"/>
                <w:szCs w:val="4"/>
              </w:rPr>
            </w:pPr>
            <w:r>
              <w:rPr>
                <w:sz w:val="4"/>
                <w:szCs w:val="4"/>
              </w:rPr>
            </w:r>
          </w:p>
        </w:tc>
        <w:tc>
          <w:tcPr>
            <w:tcW w:w="9388" w:type="dxa"/>
            <w:gridSpan w:val="2"/>
            <w:tcBorders/>
            <w:vAlign w:val="center"/>
          </w:tcPr>
          <w:p>
            <w:pPr>
              <w:pStyle w:val="TableContents"/>
              <w:bidi w:val="0"/>
              <w:spacing w:before="0" w:after="283"/>
              <w:jc w:val="left"/>
              <w:rPr>
                <w:sz w:val="4"/>
                <w:szCs w:val="4"/>
              </w:rPr>
            </w:pPr>
            <w:r>
              <w:rPr>
                <w:sz w:val="4"/>
                <w:szCs w:val="4"/>
              </w:rPr>
            </w:r>
          </w:p>
        </w:tc>
      </w:tr>
      <w:tr>
        <w:trPr/>
        <w:tc>
          <w:tcPr>
            <w:tcW w:w="817" w:type="dxa"/>
            <w:tcBorders/>
          </w:tcPr>
          <w:p>
            <w:pPr>
              <w:pStyle w:val="TableContents"/>
              <w:bidi w:val="0"/>
              <w:spacing w:before="0" w:after="283"/>
              <w:jc w:val="left"/>
              <w:rPr/>
            </w:pPr>
            <w:r>
              <w:rPr/>
              <w:t>10.11^*</w:t>
            </w:r>
          </w:p>
        </w:tc>
        <w:tc>
          <w:tcPr>
            <w:tcW w:w="597" w:type="dxa"/>
            <w:tcBorders/>
            <w:vAlign w:val="bottom"/>
          </w:tcPr>
          <w:p>
            <w:pPr>
              <w:pStyle w:val="TableContents"/>
              <w:bidi w:val="0"/>
              <w:spacing w:before="0" w:after="283"/>
              <w:jc w:val="left"/>
              <w:rPr/>
            </w:pPr>
            <w:r>
              <w:rPr/>
              <w:t>  </w:t>
            </w:r>
          </w:p>
        </w:tc>
        <w:tc>
          <w:tcPr>
            <w:tcW w:w="8791" w:type="dxa"/>
            <w:tcBorders/>
          </w:tcPr>
          <w:p>
            <w:pPr>
              <w:pStyle w:val="TableContents"/>
              <w:bidi w:val="0"/>
              <w:spacing w:before="0" w:after="283"/>
              <w:jc w:val="left"/>
              <w:rPr/>
            </w:pPr>
            <w:hyperlink r:id="rId60">
              <w:r>
                <w:rPr>
                  <w:rStyle w:val="InternetLink"/>
                </w:rPr>
                <w:t>Lease Agreement, dated July 12, 2024, between the Registrant and Brittan West Owner, LLC.</w:t>
              </w:r>
            </w:hyperlink>
          </w:p>
        </w:tc>
      </w:tr>
      <w:tr>
        <w:trPr>
          <w:trHeight w:val="120" w:hRule="atLeast"/>
        </w:trPr>
        <w:tc>
          <w:tcPr>
            <w:tcW w:w="817" w:type="dxa"/>
            <w:tcBorders/>
            <w:vAlign w:val="center"/>
          </w:tcPr>
          <w:p>
            <w:pPr>
              <w:pStyle w:val="TableContents"/>
              <w:bidi w:val="0"/>
              <w:spacing w:before="0" w:after="283"/>
              <w:jc w:val="left"/>
              <w:rPr>
                <w:sz w:val="4"/>
                <w:szCs w:val="4"/>
              </w:rPr>
            </w:pPr>
            <w:r>
              <w:rPr>
                <w:sz w:val="4"/>
                <w:szCs w:val="4"/>
              </w:rPr>
            </w:r>
          </w:p>
        </w:tc>
        <w:tc>
          <w:tcPr>
            <w:tcW w:w="9388" w:type="dxa"/>
            <w:gridSpan w:val="2"/>
            <w:tcBorders/>
            <w:vAlign w:val="center"/>
          </w:tcPr>
          <w:p>
            <w:pPr>
              <w:pStyle w:val="TableContents"/>
              <w:bidi w:val="0"/>
              <w:spacing w:before="0" w:after="283"/>
              <w:jc w:val="left"/>
              <w:rPr>
                <w:sz w:val="4"/>
                <w:szCs w:val="4"/>
              </w:rPr>
            </w:pPr>
            <w:r>
              <w:rPr>
                <w:sz w:val="4"/>
                <w:szCs w:val="4"/>
              </w:rPr>
            </w:r>
          </w:p>
        </w:tc>
      </w:tr>
      <w:tr>
        <w:trPr/>
        <w:tc>
          <w:tcPr>
            <w:tcW w:w="817" w:type="dxa"/>
            <w:tcBorders/>
          </w:tcPr>
          <w:p>
            <w:pPr>
              <w:pStyle w:val="TableContents"/>
              <w:bidi w:val="0"/>
              <w:spacing w:before="0" w:after="283"/>
              <w:jc w:val="left"/>
              <w:rPr/>
            </w:pPr>
            <w:r>
              <w:rPr/>
              <w:t>10.12^*</w:t>
            </w:r>
          </w:p>
        </w:tc>
        <w:tc>
          <w:tcPr>
            <w:tcW w:w="597" w:type="dxa"/>
            <w:tcBorders/>
            <w:vAlign w:val="bottom"/>
          </w:tcPr>
          <w:p>
            <w:pPr>
              <w:pStyle w:val="TableContents"/>
              <w:bidi w:val="0"/>
              <w:spacing w:before="0" w:after="283"/>
              <w:jc w:val="left"/>
              <w:rPr/>
            </w:pPr>
            <w:r>
              <w:rPr/>
              <w:t>  </w:t>
            </w:r>
          </w:p>
        </w:tc>
        <w:tc>
          <w:tcPr>
            <w:tcW w:w="8791" w:type="dxa"/>
            <w:tcBorders/>
          </w:tcPr>
          <w:p>
            <w:pPr>
              <w:pStyle w:val="TableContents"/>
              <w:bidi w:val="0"/>
              <w:spacing w:before="0" w:after="283"/>
              <w:jc w:val="left"/>
              <w:rPr/>
            </w:pPr>
            <w:hyperlink r:id="rId61">
              <w:r>
                <w:rPr>
                  <w:rStyle w:val="InternetLink"/>
                </w:rPr>
                <w:t>Second Amended and Restated Platform License Agreement, effective as of June  1, 2023, between the Registrant and Alamar Biosciences, Inc.</w:t>
              </w:r>
            </w:hyperlink>
          </w:p>
        </w:tc>
      </w:tr>
      <w:tr>
        <w:trPr>
          <w:trHeight w:val="120" w:hRule="atLeast"/>
        </w:trPr>
        <w:tc>
          <w:tcPr>
            <w:tcW w:w="817" w:type="dxa"/>
            <w:tcBorders/>
            <w:vAlign w:val="center"/>
          </w:tcPr>
          <w:p>
            <w:pPr>
              <w:pStyle w:val="TableContents"/>
              <w:bidi w:val="0"/>
              <w:spacing w:before="0" w:after="283"/>
              <w:jc w:val="left"/>
              <w:rPr>
                <w:sz w:val="4"/>
                <w:szCs w:val="4"/>
              </w:rPr>
            </w:pPr>
            <w:r>
              <w:rPr>
                <w:sz w:val="4"/>
                <w:szCs w:val="4"/>
              </w:rPr>
            </w:r>
          </w:p>
        </w:tc>
        <w:tc>
          <w:tcPr>
            <w:tcW w:w="9388" w:type="dxa"/>
            <w:gridSpan w:val="2"/>
            <w:tcBorders/>
            <w:vAlign w:val="center"/>
          </w:tcPr>
          <w:p>
            <w:pPr>
              <w:pStyle w:val="TableContents"/>
              <w:bidi w:val="0"/>
              <w:spacing w:before="0" w:after="283"/>
              <w:jc w:val="left"/>
              <w:rPr>
                <w:sz w:val="4"/>
                <w:szCs w:val="4"/>
              </w:rPr>
            </w:pPr>
            <w:r>
              <w:rPr>
                <w:sz w:val="4"/>
                <w:szCs w:val="4"/>
              </w:rPr>
            </w:r>
          </w:p>
        </w:tc>
      </w:tr>
      <w:tr>
        <w:trPr/>
        <w:tc>
          <w:tcPr>
            <w:tcW w:w="817" w:type="dxa"/>
            <w:tcBorders/>
          </w:tcPr>
          <w:p>
            <w:pPr>
              <w:pStyle w:val="TableContents"/>
              <w:bidi w:val="0"/>
              <w:spacing w:before="0" w:after="283"/>
              <w:jc w:val="left"/>
              <w:rPr/>
            </w:pPr>
            <w:r>
              <w:rPr/>
              <w:t>21.1*</w:t>
            </w:r>
          </w:p>
        </w:tc>
        <w:tc>
          <w:tcPr>
            <w:tcW w:w="597" w:type="dxa"/>
            <w:tcBorders/>
            <w:vAlign w:val="bottom"/>
          </w:tcPr>
          <w:p>
            <w:pPr>
              <w:pStyle w:val="TableContents"/>
              <w:bidi w:val="0"/>
              <w:spacing w:before="0" w:after="283"/>
              <w:jc w:val="left"/>
              <w:rPr/>
            </w:pPr>
            <w:r>
              <w:rPr/>
              <w:t>  </w:t>
            </w:r>
          </w:p>
        </w:tc>
        <w:tc>
          <w:tcPr>
            <w:tcW w:w="8791" w:type="dxa"/>
            <w:tcBorders/>
          </w:tcPr>
          <w:p>
            <w:pPr>
              <w:pStyle w:val="TableContents"/>
              <w:bidi w:val="0"/>
              <w:spacing w:before="0" w:after="283"/>
              <w:jc w:val="left"/>
              <w:rPr/>
            </w:pPr>
            <w:hyperlink r:id="rId62">
              <w:r>
                <w:rPr>
                  <w:rStyle w:val="InternetLink"/>
                </w:rPr>
                <w:t>List of Subsidiaries of Attovia Therapeutics, Inc.</w:t>
              </w:r>
            </w:hyperlink>
          </w:p>
        </w:tc>
      </w:tr>
      <w:tr>
        <w:trPr>
          <w:trHeight w:val="120" w:hRule="atLeast"/>
        </w:trPr>
        <w:tc>
          <w:tcPr>
            <w:tcW w:w="817" w:type="dxa"/>
            <w:tcBorders/>
            <w:vAlign w:val="center"/>
          </w:tcPr>
          <w:p>
            <w:pPr>
              <w:pStyle w:val="TableContents"/>
              <w:bidi w:val="0"/>
              <w:spacing w:before="0" w:after="283"/>
              <w:jc w:val="left"/>
              <w:rPr>
                <w:sz w:val="4"/>
                <w:szCs w:val="4"/>
              </w:rPr>
            </w:pPr>
            <w:r>
              <w:rPr>
                <w:sz w:val="4"/>
                <w:szCs w:val="4"/>
              </w:rPr>
            </w:r>
          </w:p>
        </w:tc>
        <w:tc>
          <w:tcPr>
            <w:tcW w:w="9388" w:type="dxa"/>
            <w:gridSpan w:val="2"/>
            <w:tcBorders/>
            <w:vAlign w:val="center"/>
          </w:tcPr>
          <w:p>
            <w:pPr>
              <w:pStyle w:val="TableContents"/>
              <w:bidi w:val="0"/>
              <w:spacing w:before="0" w:after="283"/>
              <w:jc w:val="left"/>
              <w:rPr>
                <w:sz w:val="4"/>
                <w:szCs w:val="4"/>
              </w:rPr>
            </w:pPr>
            <w:r>
              <w:rPr>
                <w:sz w:val="4"/>
                <w:szCs w:val="4"/>
              </w:rPr>
            </w:r>
          </w:p>
        </w:tc>
      </w:tr>
      <w:tr>
        <w:trPr/>
        <w:tc>
          <w:tcPr>
            <w:tcW w:w="817" w:type="dxa"/>
            <w:tcBorders/>
          </w:tcPr>
          <w:p>
            <w:pPr>
              <w:pStyle w:val="TableContents"/>
              <w:bidi w:val="0"/>
              <w:spacing w:before="0" w:after="283"/>
              <w:jc w:val="left"/>
              <w:rPr/>
            </w:pPr>
            <w:r>
              <w:rPr/>
              <w:t>23.1</w:t>
            </w:r>
          </w:p>
        </w:tc>
        <w:tc>
          <w:tcPr>
            <w:tcW w:w="597" w:type="dxa"/>
            <w:tcBorders/>
            <w:vAlign w:val="bottom"/>
          </w:tcPr>
          <w:p>
            <w:pPr>
              <w:pStyle w:val="TableContents"/>
              <w:bidi w:val="0"/>
              <w:spacing w:before="0" w:after="283"/>
              <w:jc w:val="left"/>
              <w:rPr/>
            </w:pPr>
            <w:r>
              <w:rPr/>
              <w:t>  </w:t>
            </w:r>
          </w:p>
        </w:tc>
        <w:tc>
          <w:tcPr>
            <w:tcW w:w="8791" w:type="dxa"/>
            <w:tcBorders/>
          </w:tcPr>
          <w:p>
            <w:pPr>
              <w:pStyle w:val="TableContents"/>
              <w:bidi w:val="0"/>
              <w:spacing w:before="0" w:after="283"/>
              <w:jc w:val="left"/>
              <w:rPr/>
            </w:pPr>
            <w:hyperlink w:anchor="d40469dex231.htm">
              <w:r>
                <w:rPr>
                  <w:rStyle w:val="InternetLink"/>
                </w:rPr>
                <w:t xml:space="preserve">Consent of PricewaterhouseCoopers LLP. </w:t>
              </w:r>
            </w:hyperlink>
          </w:p>
        </w:tc>
      </w:tr>
      <w:tr>
        <w:trPr>
          <w:trHeight w:val="120" w:hRule="atLeast"/>
        </w:trPr>
        <w:tc>
          <w:tcPr>
            <w:tcW w:w="817" w:type="dxa"/>
            <w:tcBorders/>
            <w:vAlign w:val="center"/>
          </w:tcPr>
          <w:p>
            <w:pPr>
              <w:pStyle w:val="TableContents"/>
              <w:bidi w:val="0"/>
              <w:spacing w:before="0" w:after="283"/>
              <w:jc w:val="left"/>
              <w:rPr>
                <w:sz w:val="4"/>
                <w:szCs w:val="4"/>
              </w:rPr>
            </w:pPr>
            <w:r>
              <w:rPr>
                <w:sz w:val="4"/>
                <w:szCs w:val="4"/>
              </w:rPr>
            </w:r>
          </w:p>
        </w:tc>
        <w:tc>
          <w:tcPr>
            <w:tcW w:w="9388" w:type="dxa"/>
            <w:gridSpan w:val="2"/>
            <w:tcBorders/>
            <w:vAlign w:val="center"/>
          </w:tcPr>
          <w:p>
            <w:pPr>
              <w:pStyle w:val="TableContents"/>
              <w:bidi w:val="0"/>
              <w:spacing w:before="0" w:after="283"/>
              <w:jc w:val="left"/>
              <w:rPr>
                <w:sz w:val="4"/>
                <w:szCs w:val="4"/>
              </w:rPr>
            </w:pPr>
            <w:r>
              <w:rPr>
                <w:sz w:val="4"/>
                <w:szCs w:val="4"/>
              </w:rPr>
            </w:r>
          </w:p>
        </w:tc>
      </w:tr>
      <w:tr>
        <w:trPr/>
        <w:tc>
          <w:tcPr>
            <w:tcW w:w="817" w:type="dxa"/>
            <w:tcBorders/>
          </w:tcPr>
          <w:p>
            <w:pPr>
              <w:pStyle w:val="TableContents"/>
              <w:bidi w:val="0"/>
              <w:spacing w:before="0" w:after="283"/>
              <w:jc w:val="left"/>
              <w:rPr/>
            </w:pPr>
            <w:r>
              <w:rPr/>
              <w:t>23.2</w:t>
            </w:r>
          </w:p>
        </w:tc>
        <w:tc>
          <w:tcPr>
            <w:tcW w:w="597" w:type="dxa"/>
            <w:tcBorders/>
            <w:vAlign w:val="bottom"/>
          </w:tcPr>
          <w:p>
            <w:pPr>
              <w:pStyle w:val="TableContents"/>
              <w:bidi w:val="0"/>
              <w:spacing w:before="0" w:after="283"/>
              <w:jc w:val="left"/>
              <w:rPr/>
            </w:pPr>
            <w:r>
              <w:rPr/>
              <w:t>  </w:t>
            </w:r>
          </w:p>
        </w:tc>
        <w:tc>
          <w:tcPr>
            <w:tcW w:w="8791" w:type="dxa"/>
            <w:tcBorders/>
          </w:tcPr>
          <w:p>
            <w:pPr>
              <w:pStyle w:val="TableContents"/>
              <w:bidi w:val="0"/>
              <w:spacing w:before="0" w:after="283"/>
              <w:jc w:val="left"/>
              <w:rPr/>
            </w:pPr>
            <w:hyperlink w:anchor="d40469dex51.htm">
              <w:r>
                <w:rPr>
                  <w:rStyle w:val="InternetLink"/>
                </w:rPr>
                <w:t xml:space="preserve">Consent of Fenwick &amp; West LLP (included in Exhibit 5.1). </w:t>
              </w:r>
            </w:hyperlink>
          </w:p>
        </w:tc>
      </w:tr>
      <w:tr>
        <w:trPr>
          <w:trHeight w:val="120" w:hRule="atLeast"/>
        </w:trPr>
        <w:tc>
          <w:tcPr>
            <w:tcW w:w="817" w:type="dxa"/>
            <w:tcBorders/>
            <w:vAlign w:val="center"/>
          </w:tcPr>
          <w:p>
            <w:pPr>
              <w:pStyle w:val="TableContents"/>
              <w:bidi w:val="0"/>
              <w:spacing w:before="0" w:after="283"/>
              <w:jc w:val="left"/>
              <w:rPr>
                <w:sz w:val="4"/>
                <w:szCs w:val="4"/>
              </w:rPr>
            </w:pPr>
            <w:r>
              <w:rPr>
                <w:sz w:val="4"/>
                <w:szCs w:val="4"/>
              </w:rPr>
            </w:r>
          </w:p>
        </w:tc>
        <w:tc>
          <w:tcPr>
            <w:tcW w:w="9388" w:type="dxa"/>
            <w:gridSpan w:val="2"/>
            <w:tcBorders/>
            <w:vAlign w:val="center"/>
          </w:tcPr>
          <w:p>
            <w:pPr>
              <w:pStyle w:val="TableContents"/>
              <w:bidi w:val="0"/>
              <w:spacing w:before="0" w:after="283"/>
              <w:jc w:val="left"/>
              <w:rPr>
                <w:sz w:val="4"/>
                <w:szCs w:val="4"/>
              </w:rPr>
            </w:pPr>
            <w:r>
              <w:rPr>
                <w:sz w:val="4"/>
                <w:szCs w:val="4"/>
              </w:rPr>
            </w:r>
          </w:p>
        </w:tc>
      </w:tr>
      <w:tr>
        <w:trPr/>
        <w:tc>
          <w:tcPr>
            <w:tcW w:w="817" w:type="dxa"/>
            <w:tcBorders/>
          </w:tcPr>
          <w:p>
            <w:pPr>
              <w:pStyle w:val="TableContents"/>
              <w:bidi w:val="0"/>
              <w:spacing w:before="0" w:after="283"/>
              <w:jc w:val="left"/>
              <w:rPr/>
            </w:pPr>
            <w:r>
              <w:rPr/>
              <w:t>24.1*</w:t>
            </w:r>
          </w:p>
        </w:tc>
        <w:tc>
          <w:tcPr>
            <w:tcW w:w="597" w:type="dxa"/>
            <w:tcBorders/>
            <w:vAlign w:val="bottom"/>
          </w:tcPr>
          <w:p>
            <w:pPr>
              <w:pStyle w:val="TableContents"/>
              <w:bidi w:val="0"/>
              <w:spacing w:before="0" w:after="283"/>
              <w:jc w:val="left"/>
              <w:rPr/>
            </w:pPr>
            <w:r>
              <w:rPr/>
              <w:t>  </w:t>
            </w:r>
          </w:p>
        </w:tc>
        <w:tc>
          <w:tcPr>
            <w:tcW w:w="8791" w:type="dxa"/>
            <w:tcBorders/>
          </w:tcPr>
          <w:p>
            <w:pPr>
              <w:pStyle w:val="TableContents"/>
              <w:bidi w:val="0"/>
              <w:spacing w:before="0" w:after="283"/>
              <w:jc w:val="left"/>
              <w:rPr/>
            </w:pPr>
            <w:r>
              <w:fldChar w:fldCharType="begin"/>
            </w:r>
            <w:r>
              <w:rPr>
                <w:rStyle w:val="InternetLink"/>
              </w:rPr>
              <w:instrText xml:space="preserve"> HYPERLINK "http://www.sec.gov/Archives/edgar/data/2058707/000119312526303256/d40469ds1.htm" \l "ii40469_poa"</w:instrText>
            </w:r>
            <w:r>
              <w:rPr>
                <w:rStyle w:val="InternetLink"/>
              </w:rPr>
              <w:fldChar w:fldCharType="separate"/>
            </w:r>
            <w:r>
              <w:rPr>
                <w:rStyle w:val="InternetLink"/>
              </w:rPr>
              <w:t>Power of Attorney (included in the signature page to this registration statement).</w:t>
            </w:r>
            <w:r>
              <w:rPr>
                <w:rStyle w:val="InternetLink"/>
              </w:rPr>
              <w:fldChar w:fldCharType="end"/>
            </w:r>
          </w:p>
        </w:tc>
      </w:tr>
      <w:tr>
        <w:trPr>
          <w:trHeight w:val="120" w:hRule="atLeast"/>
        </w:trPr>
        <w:tc>
          <w:tcPr>
            <w:tcW w:w="817" w:type="dxa"/>
            <w:tcBorders/>
            <w:vAlign w:val="center"/>
          </w:tcPr>
          <w:p>
            <w:pPr>
              <w:pStyle w:val="TableContents"/>
              <w:bidi w:val="0"/>
              <w:spacing w:before="0" w:after="283"/>
              <w:jc w:val="left"/>
              <w:rPr>
                <w:sz w:val="4"/>
                <w:szCs w:val="4"/>
              </w:rPr>
            </w:pPr>
            <w:r>
              <w:rPr>
                <w:sz w:val="4"/>
                <w:szCs w:val="4"/>
              </w:rPr>
            </w:r>
          </w:p>
        </w:tc>
        <w:tc>
          <w:tcPr>
            <w:tcW w:w="9388" w:type="dxa"/>
            <w:gridSpan w:val="2"/>
            <w:tcBorders/>
            <w:vAlign w:val="center"/>
          </w:tcPr>
          <w:p>
            <w:pPr>
              <w:pStyle w:val="TableContents"/>
              <w:bidi w:val="0"/>
              <w:spacing w:before="0" w:after="283"/>
              <w:jc w:val="left"/>
              <w:rPr>
                <w:sz w:val="4"/>
                <w:szCs w:val="4"/>
              </w:rPr>
            </w:pPr>
            <w:r>
              <w:rPr>
                <w:sz w:val="4"/>
                <w:szCs w:val="4"/>
              </w:rPr>
            </w:r>
          </w:p>
        </w:tc>
      </w:tr>
      <w:tr>
        <w:trPr/>
        <w:tc>
          <w:tcPr>
            <w:tcW w:w="817" w:type="dxa"/>
            <w:tcBorders/>
          </w:tcPr>
          <w:p>
            <w:pPr>
              <w:pStyle w:val="TableContents"/>
              <w:bidi w:val="0"/>
              <w:spacing w:before="0" w:after="283"/>
              <w:jc w:val="left"/>
              <w:rPr/>
            </w:pPr>
            <w:r>
              <w:rPr/>
              <w:t>99.1*</w:t>
            </w:r>
          </w:p>
        </w:tc>
        <w:tc>
          <w:tcPr>
            <w:tcW w:w="597" w:type="dxa"/>
            <w:tcBorders/>
            <w:vAlign w:val="bottom"/>
          </w:tcPr>
          <w:p>
            <w:pPr>
              <w:pStyle w:val="TableContents"/>
              <w:bidi w:val="0"/>
              <w:spacing w:before="0" w:after="283"/>
              <w:jc w:val="left"/>
              <w:rPr/>
            </w:pPr>
            <w:r>
              <w:rPr/>
              <w:t>  </w:t>
            </w:r>
          </w:p>
        </w:tc>
        <w:tc>
          <w:tcPr>
            <w:tcW w:w="8791" w:type="dxa"/>
            <w:tcBorders/>
          </w:tcPr>
          <w:p>
            <w:pPr>
              <w:pStyle w:val="TableContents"/>
              <w:bidi w:val="0"/>
              <w:spacing w:before="0" w:after="283"/>
              <w:jc w:val="left"/>
              <w:rPr/>
            </w:pPr>
            <w:hyperlink r:id="rId63">
              <w:r>
                <w:rPr>
                  <w:rStyle w:val="InternetLink"/>
                </w:rPr>
                <w:t>Consent of LifeSci Consulting.</w:t>
              </w:r>
            </w:hyperlink>
          </w:p>
        </w:tc>
      </w:tr>
      <w:tr>
        <w:trPr>
          <w:trHeight w:val="120" w:hRule="atLeast"/>
        </w:trPr>
        <w:tc>
          <w:tcPr>
            <w:tcW w:w="817" w:type="dxa"/>
            <w:tcBorders/>
            <w:vAlign w:val="center"/>
          </w:tcPr>
          <w:p>
            <w:pPr>
              <w:pStyle w:val="TableContents"/>
              <w:bidi w:val="0"/>
              <w:spacing w:before="0" w:after="283"/>
              <w:jc w:val="left"/>
              <w:rPr>
                <w:sz w:val="4"/>
                <w:szCs w:val="4"/>
              </w:rPr>
            </w:pPr>
            <w:r>
              <w:rPr>
                <w:sz w:val="4"/>
                <w:szCs w:val="4"/>
              </w:rPr>
            </w:r>
          </w:p>
        </w:tc>
        <w:tc>
          <w:tcPr>
            <w:tcW w:w="9388" w:type="dxa"/>
            <w:gridSpan w:val="2"/>
            <w:tcBorders/>
            <w:vAlign w:val="center"/>
          </w:tcPr>
          <w:p>
            <w:pPr>
              <w:pStyle w:val="TableContents"/>
              <w:bidi w:val="0"/>
              <w:spacing w:before="0" w:after="283"/>
              <w:jc w:val="left"/>
              <w:rPr>
                <w:sz w:val="4"/>
                <w:szCs w:val="4"/>
              </w:rPr>
            </w:pPr>
            <w:r>
              <w:rPr>
                <w:sz w:val="4"/>
                <w:szCs w:val="4"/>
              </w:rPr>
            </w:r>
          </w:p>
        </w:tc>
      </w:tr>
      <w:tr>
        <w:trPr/>
        <w:tc>
          <w:tcPr>
            <w:tcW w:w="817" w:type="dxa"/>
            <w:tcBorders/>
          </w:tcPr>
          <w:p>
            <w:pPr>
              <w:pStyle w:val="TableContents"/>
              <w:bidi w:val="0"/>
              <w:spacing w:before="0" w:after="283"/>
              <w:jc w:val="left"/>
              <w:rPr/>
            </w:pPr>
            <w:r>
              <w:rPr/>
              <w:t>107</w:t>
            </w:r>
          </w:p>
        </w:tc>
        <w:tc>
          <w:tcPr>
            <w:tcW w:w="597" w:type="dxa"/>
            <w:tcBorders/>
            <w:vAlign w:val="bottom"/>
          </w:tcPr>
          <w:p>
            <w:pPr>
              <w:pStyle w:val="TableContents"/>
              <w:bidi w:val="0"/>
              <w:spacing w:before="0" w:after="283"/>
              <w:jc w:val="left"/>
              <w:rPr/>
            </w:pPr>
            <w:r>
              <w:rPr/>
              <w:t>  </w:t>
            </w:r>
          </w:p>
        </w:tc>
        <w:tc>
          <w:tcPr>
            <w:tcW w:w="8791" w:type="dxa"/>
            <w:tcBorders/>
          </w:tcPr>
          <w:p>
            <w:pPr>
              <w:pStyle w:val="TableContents"/>
              <w:bidi w:val="0"/>
              <w:spacing w:before="0" w:after="283"/>
              <w:jc w:val="left"/>
              <w:rPr/>
            </w:pPr>
            <w:hyperlink w:anchor="d40469dexfilingfees.htm">
              <w:r>
                <w:rPr>
                  <w:rStyle w:val="InternetLink"/>
                </w:rPr>
                <w:t>Calculation of Filing Fee Tables.</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Previously filed. </w:t>
            </w:r>
          </w:p>
        </w:tc>
      </w:tr>
    </w:tbl>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tcPr>
          <w:p>
            <w:pPr>
              <w:pStyle w:val="TableContents"/>
              <w:bidi w:val="0"/>
              <w:spacing w:before="0" w:after="283"/>
              <w:jc w:val="left"/>
              <w:rPr/>
            </w:pPr>
            <w:r>
              <w:rPr/>
              <w:t></w:t>
            </w:r>
          </w:p>
        </w:tc>
        <w:tc>
          <w:tcPr>
            <w:tcW w:w="9801"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The Registrant has omitted portions of the exhibit (indicated by “[*]”) as permitted under Item 601(b)(10) of Regulation S-K.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The Registrant has omitted schedules and exhibits pursuant to Item 601(a)(5) of Regulation S-K. The Registrant agrees to furnish supplementally a copy of the omitted schedules and exhibits to the SEC upon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204"/>
        <w:gridCol w:w="9288"/>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(b)</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Financial Statement Schedules. </w:t>
            </w:r>
          </w:p>
        </w:tc>
      </w:tr>
    </w:tbl>
    <w:p>
      <w:pPr>
        <w:pStyle w:val="TextBody"/>
        <w:bidi w:val="0"/>
        <w:spacing w:before="120" w:after="0"/>
        <w:jc w:val="both"/>
        <w:rPr>
          <w:rFonts w:ascii="Times New Roman" w:hAnsi="Times New Roman"/>
          <w:sz w:val="20"/>
        </w:rPr>
      </w:pPr>
      <w:r>
        <w:rPr>
          <w:rFonts w:ascii="Times New Roman" w:hAnsi="Times New Roman"/>
          <w:sz w:val="20"/>
        </w:rPr>
        <w:t xml:space="preserve">No financial statement schedules are provided because the information called for is not required or is shown either in the consolidated financial statements or notes. </w:t>
      </w:r>
    </w:p>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both"/>
        <w:rPr>
          <w:rFonts w:ascii="Times New Roman" w:hAnsi="Times New Roman"/>
          <w:sz w:val="20"/>
        </w:rPr>
      </w:pPr>
      <w:r>
        <w:rPr>
          <w:rFonts w:ascii="Times New Roman" w:hAnsi="Times New Roman"/>
          <w:sz w:val="20"/>
        </w:rPr>
        <w:t xml:space="preserve">The undersigned registrant hereby undertakes to provide to the underwriters, at the closing specified in the underwriting agreement, certificates in such denominations and registered in such names as required by the underwriters to permit prompt delivery to each purchaser.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240" w:after="0"/>
        <w:jc w:val="both"/>
        <w:rPr>
          <w:rFonts w:ascii="Times New Roman" w:hAnsi="Times New Roman"/>
          <w:sz w:val="20"/>
        </w:rPr>
      </w:pPr>
      <w:r>
        <w:rPr>
          <w:rFonts w:ascii="Times New Roman" w:hAnsi="Times New Roman"/>
          <w:sz w:val="20"/>
        </w:rPr>
        <w:t xml:space="preserve">The undersigned registrant hereby undertakes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574"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0"/>
        <w:gridCol w:w="509"/>
        <w:gridCol w:w="8576"/>
      </w:tblGrid>
      <w:tr>
        <w:trPr/>
        <w:tc>
          <w:tcPr>
            <w:tcW w:w="1120"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57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6" w:name="ii40469_poa"/>
      <w:bookmarkEnd w:id="36"/>
      <w:r>
        <w:rPr>
          <w:rFonts w:ascii="Times New Roman" w:hAnsi="Times New Roman"/>
          <w:b/>
          <w:sz w:val="20"/>
        </w:rPr>
        <w:t xml:space="preserve">SIGNATURES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requirements of the Securities Act of 1933, as amended, the registrant has duly caused this registration statement on Form S-1 to be signed on its behalf by the undersigned, thereunto duly authorized, in the City of San Carlos, State of California, on the 4th day of August,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ATTOVIA THERAPEUTICS,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Tao Fu</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Tao Fu</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Chief Executive Officer</w:t>
            </w:r>
          </w:p>
        </w:tc>
      </w:tr>
    </w:tbl>
    <w:p>
      <w:pPr>
        <w:pStyle w:val="TextBody"/>
        <w:bidi w:val="0"/>
        <w:spacing w:before="240" w:after="0"/>
        <w:jc w:val="both"/>
        <w:rPr>
          <w:rFonts w:ascii="Times New Roman" w:hAnsi="Times New Roman"/>
          <w:sz w:val="20"/>
        </w:rPr>
      </w:pPr>
      <w:r>
        <w:rPr>
          <w:rFonts w:ascii="Times New Roman" w:hAnsi="Times New Roman"/>
          <w:sz w:val="20"/>
        </w:rPr>
        <w:t xml:space="preserve">Pursuant to the requirements of the Securities Act of 1933, as amended, this registration statement on Form S-1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03"/>
        <w:gridCol w:w="120"/>
        <w:gridCol w:w="3541"/>
        <w:gridCol w:w="201"/>
        <w:gridCol w:w="1940"/>
      </w:tblGrid>
      <w:tr>
        <w:trPr/>
        <w:tc>
          <w:tcPr>
            <w:tcW w:w="440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41"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440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354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201"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4403" w:type="dxa"/>
            <w:tcBorders/>
            <w:vAlign w:val="center"/>
          </w:tcPr>
          <w:p>
            <w:pPr>
              <w:pStyle w:val="TableContents"/>
              <w:bidi w:val="0"/>
              <w:spacing w:before="0" w:after="283"/>
              <w:jc w:val="left"/>
              <w:rPr>
                <w:sz w:val="4"/>
                <w:szCs w:val="4"/>
              </w:rPr>
            </w:pPr>
            <w:r>
              <w:rPr>
                <w:sz w:val="4"/>
                <w:szCs w:val="4"/>
              </w:rPr>
            </w:r>
          </w:p>
        </w:tc>
        <w:tc>
          <w:tcPr>
            <w:tcW w:w="3661" w:type="dxa"/>
            <w:gridSpan w:val="2"/>
            <w:tcBorders/>
            <w:vAlign w:val="center"/>
          </w:tcPr>
          <w:p>
            <w:pPr>
              <w:pStyle w:val="TableContents"/>
              <w:bidi w:val="0"/>
              <w:spacing w:before="0" w:after="283"/>
              <w:jc w:val="left"/>
              <w:rPr>
                <w:sz w:val="4"/>
                <w:szCs w:val="4"/>
              </w:rPr>
            </w:pPr>
            <w:r>
              <w:rPr>
                <w:sz w:val="4"/>
                <w:szCs w:val="4"/>
              </w:rPr>
            </w:r>
          </w:p>
        </w:tc>
        <w:tc>
          <w:tcPr>
            <w:tcW w:w="2141" w:type="dxa"/>
            <w:gridSpan w:val="2"/>
            <w:tcBorders/>
            <w:vAlign w:val="center"/>
          </w:tcPr>
          <w:p>
            <w:pPr>
              <w:pStyle w:val="TableContents"/>
              <w:bidi w:val="0"/>
              <w:spacing w:before="0" w:after="283"/>
              <w:jc w:val="left"/>
              <w:rPr>
                <w:sz w:val="4"/>
                <w:szCs w:val="4"/>
              </w:rPr>
            </w:pPr>
            <w:r>
              <w:rPr>
                <w:sz w:val="4"/>
                <w:szCs w:val="4"/>
              </w:rPr>
            </w:r>
          </w:p>
        </w:tc>
      </w:tr>
      <w:tr>
        <w:trPr/>
        <w:tc>
          <w:tcPr>
            <w:tcW w:w="440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Tao Fu</w:t>
            </w:r>
          </w:p>
          <w:p>
            <w:pPr>
              <w:pStyle w:val="TableContents"/>
              <w:bidi w:val="0"/>
              <w:spacing w:before="0" w:after="20"/>
              <w:jc w:val="center"/>
              <w:rPr>
                <w:rFonts w:ascii="Times New Roman" w:hAnsi="Times New Roman"/>
                <w:sz w:val="20"/>
              </w:rPr>
            </w:pPr>
            <w:r>
              <w:rPr>
                <w:rFonts w:ascii="Times New Roman" w:hAnsi="Times New Roman"/>
                <w:sz w:val="20"/>
              </w:rPr>
              <w:t>Tao Fu</w:t>
            </w:r>
          </w:p>
        </w:tc>
        <w:tc>
          <w:tcPr>
            <w:tcW w:w="120" w:type="dxa"/>
            <w:tcBorders/>
            <w:vAlign w:val="bottom"/>
          </w:tcPr>
          <w:p>
            <w:pPr>
              <w:pStyle w:val="TableContents"/>
              <w:bidi w:val="0"/>
              <w:spacing w:before="0" w:after="283"/>
              <w:jc w:val="left"/>
              <w:rPr/>
            </w:pPr>
            <w:r>
              <w:rPr/>
              <w:t>  </w:t>
            </w:r>
          </w:p>
        </w:tc>
        <w:tc>
          <w:tcPr>
            <w:tcW w:w="3541" w:type="dxa"/>
            <w:tcBorders/>
          </w:tcPr>
          <w:p>
            <w:pPr>
              <w:pStyle w:val="TableContents"/>
              <w:bidi w:val="0"/>
              <w:spacing w:before="0" w:after="283"/>
              <w:jc w:val="center"/>
              <w:rPr/>
            </w:pPr>
            <w:r>
              <w:rPr/>
              <w:t>Chief Executive Officer, President and Director</w:t>
              <w:br/>
            </w:r>
            <w:r>
              <w:rPr>
                <w:i/>
              </w:rPr>
              <w:t>(Principal Executive Officer)</w:t>
            </w:r>
          </w:p>
        </w:tc>
        <w:tc>
          <w:tcPr>
            <w:tcW w:w="2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center"/>
              <w:rPr/>
            </w:pPr>
            <w:r>
              <w:rPr/>
              <w:t>August 4, 2026</w:t>
            </w:r>
          </w:p>
        </w:tc>
      </w:tr>
      <w:tr>
        <w:trPr>
          <w:trHeight w:val="240" w:hRule="atLeast"/>
        </w:trPr>
        <w:tc>
          <w:tcPr>
            <w:tcW w:w="4403" w:type="dxa"/>
            <w:tcBorders/>
            <w:vAlign w:val="center"/>
          </w:tcPr>
          <w:p>
            <w:pPr>
              <w:pStyle w:val="TableContents"/>
              <w:bidi w:val="0"/>
              <w:spacing w:before="0" w:after="283"/>
              <w:jc w:val="left"/>
              <w:rPr>
                <w:sz w:val="4"/>
                <w:szCs w:val="4"/>
              </w:rPr>
            </w:pPr>
            <w:r>
              <w:rPr>
                <w:sz w:val="4"/>
                <w:szCs w:val="4"/>
              </w:rPr>
            </w:r>
          </w:p>
        </w:tc>
        <w:tc>
          <w:tcPr>
            <w:tcW w:w="3661" w:type="dxa"/>
            <w:gridSpan w:val="2"/>
            <w:tcBorders/>
            <w:vAlign w:val="center"/>
          </w:tcPr>
          <w:p>
            <w:pPr>
              <w:pStyle w:val="TableContents"/>
              <w:bidi w:val="0"/>
              <w:spacing w:before="0" w:after="283"/>
              <w:jc w:val="left"/>
              <w:rPr>
                <w:sz w:val="4"/>
                <w:szCs w:val="4"/>
              </w:rPr>
            </w:pPr>
            <w:r>
              <w:rPr>
                <w:sz w:val="4"/>
                <w:szCs w:val="4"/>
              </w:rPr>
            </w:r>
          </w:p>
        </w:tc>
        <w:tc>
          <w:tcPr>
            <w:tcW w:w="2141" w:type="dxa"/>
            <w:gridSpan w:val="2"/>
            <w:tcBorders/>
            <w:vAlign w:val="center"/>
          </w:tcPr>
          <w:p>
            <w:pPr>
              <w:pStyle w:val="TableContents"/>
              <w:bidi w:val="0"/>
              <w:spacing w:before="0" w:after="283"/>
              <w:jc w:val="left"/>
              <w:rPr>
                <w:sz w:val="4"/>
                <w:szCs w:val="4"/>
              </w:rPr>
            </w:pPr>
            <w:r>
              <w:rPr>
                <w:sz w:val="4"/>
                <w:szCs w:val="4"/>
              </w:rPr>
            </w:r>
          </w:p>
        </w:tc>
      </w:tr>
      <w:tr>
        <w:trPr/>
        <w:tc>
          <w:tcPr>
            <w:tcW w:w="440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Steven Chan</w:t>
            </w:r>
          </w:p>
          <w:p>
            <w:pPr>
              <w:pStyle w:val="TableContents"/>
              <w:bidi w:val="0"/>
              <w:spacing w:before="0" w:after="20"/>
              <w:jc w:val="center"/>
              <w:rPr>
                <w:rFonts w:ascii="Times New Roman" w:hAnsi="Times New Roman"/>
                <w:sz w:val="20"/>
              </w:rPr>
            </w:pPr>
            <w:r>
              <w:rPr>
                <w:rFonts w:ascii="Times New Roman" w:hAnsi="Times New Roman"/>
                <w:sz w:val="20"/>
              </w:rPr>
              <w:t>Steven Chan</w:t>
            </w:r>
          </w:p>
        </w:tc>
        <w:tc>
          <w:tcPr>
            <w:tcW w:w="120" w:type="dxa"/>
            <w:tcBorders/>
            <w:vAlign w:val="bottom"/>
          </w:tcPr>
          <w:p>
            <w:pPr>
              <w:pStyle w:val="TableContents"/>
              <w:bidi w:val="0"/>
              <w:spacing w:before="0" w:after="283"/>
              <w:jc w:val="left"/>
              <w:rPr/>
            </w:pPr>
            <w:r>
              <w:rPr/>
              <w:t>  </w:t>
            </w:r>
          </w:p>
        </w:tc>
        <w:tc>
          <w:tcPr>
            <w:tcW w:w="3541" w:type="dxa"/>
            <w:tcBorders/>
          </w:tcPr>
          <w:p>
            <w:pPr>
              <w:pStyle w:val="TableContents"/>
              <w:bidi w:val="0"/>
              <w:spacing w:before="0" w:after="283"/>
              <w:jc w:val="center"/>
              <w:rPr/>
            </w:pPr>
            <w:r>
              <w:rPr/>
              <w:t>Chief Financial Officer</w:t>
              <w:br/>
            </w:r>
            <w:r>
              <w:rPr>
                <w:i/>
              </w:rPr>
              <w:t>(Principal Financial and</w:t>
              <w:br/>
              <w:t>Accounting Officer)</w:t>
            </w:r>
          </w:p>
        </w:tc>
        <w:tc>
          <w:tcPr>
            <w:tcW w:w="2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center"/>
              <w:rPr/>
            </w:pPr>
            <w:r>
              <w:rPr/>
              <w:t>August 4, 2026</w:t>
            </w:r>
          </w:p>
        </w:tc>
      </w:tr>
      <w:tr>
        <w:trPr>
          <w:trHeight w:val="240" w:hRule="atLeast"/>
        </w:trPr>
        <w:tc>
          <w:tcPr>
            <w:tcW w:w="4403" w:type="dxa"/>
            <w:tcBorders/>
            <w:vAlign w:val="center"/>
          </w:tcPr>
          <w:p>
            <w:pPr>
              <w:pStyle w:val="TableContents"/>
              <w:bidi w:val="0"/>
              <w:spacing w:before="0" w:after="283"/>
              <w:jc w:val="left"/>
              <w:rPr>
                <w:sz w:val="4"/>
                <w:szCs w:val="4"/>
              </w:rPr>
            </w:pPr>
            <w:r>
              <w:rPr>
                <w:sz w:val="4"/>
                <w:szCs w:val="4"/>
              </w:rPr>
            </w:r>
          </w:p>
        </w:tc>
        <w:tc>
          <w:tcPr>
            <w:tcW w:w="3661" w:type="dxa"/>
            <w:gridSpan w:val="2"/>
            <w:tcBorders/>
            <w:vAlign w:val="center"/>
          </w:tcPr>
          <w:p>
            <w:pPr>
              <w:pStyle w:val="TableContents"/>
              <w:bidi w:val="0"/>
              <w:spacing w:before="0" w:after="283"/>
              <w:jc w:val="left"/>
              <w:rPr>
                <w:sz w:val="4"/>
                <w:szCs w:val="4"/>
              </w:rPr>
            </w:pPr>
            <w:r>
              <w:rPr>
                <w:sz w:val="4"/>
                <w:szCs w:val="4"/>
              </w:rPr>
            </w:r>
          </w:p>
        </w:tc>
        <w:tc>
          <w:tcPr>
            <w:tcW w:w="2141" w:type="dxa"/>
            <w:gridSpan w:val="2"/>
            <w:tcBorders/>
            <w:vAlign w:val="center"/>
          </w:tcPr>
          <w:p>
            <w:pPr>
              <w:pStyle w:val="TableContents"/>
              <w:bidi w:val="0"/>
              <w:spacing w:before="0" w:after="283"/>
              <w:jc w:val="left"/>
              <w:rPr>
                <w:sz w:val="4"/>
                <w:szCs w:val="4"/>
              </w:rPr>
            </w:pPr>
            <w:r>
              <w:rPr>
                <w:sz w:val="4"/>
                <w:szCs w:val="4"/>
              </w:rPr>
            </w:r>
          </w:p>
        </w:tc>
      </w:tr>
      <w:tr>
        <w:trPr/>
        <w:tc>
          <w:tcPr>
            <w:tcW w:w="440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Mitchell Gold, M.D.</w:t>
            </w:r>
          </w:p>
        </w:tc>
        <w:tc>
          <w:tcPr>
            <w:tcW w:w="120" w:type="dxa"/>
            <w:tcBorders/>
            <w:vAlign w:val="bottom"/>
          </w:tcPr>
          <w:p>
            <w:pPr>
              <w:pStyle w:val="TableContents"/>
              <w:bidi w:val="0"/>
              <w:spacing w:before="0" w:after="283"/>
              <w:jc w:val="left"/>
              <w:rPr/>
            </w:pPr>
            <w:r>
              <w:rPr/>
              <w:t>  </w:t>
            </w:r>
          </w:p>
        </w:tc>
        <w:tc>
          <w:tcPr>
            <w:tcW w:w="3541" w:type="dxa"/>
            <w:tcBorders/>
          </w:tcPr>
          <w:p>
            <w:pPr>
              <w:pStyle w:val="TableContents"/>
              <w:bidi w:val="0"/>
              <w:spacing w:before="0" w:after="283"/>
              <w:jc w:val="center"/>
              <w:rPr/>
            </w:pPr>
            <w:r>
              <w:rPr/>
              <w:t>Director</w:t>
            </w:r>
          </w:p>
        </w:tc>
        <w:tc>
          <w:tcPr>
            <w:tcW w:w="2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center"/>
              <w:rPr/>
            </w:pPr>
            <w:r>
              <w:rPr/>
              <w:t>August 4, 2026</w:t>
            </w:r>
          </w:p>
        </w:tc>
      </w:tr>
      <w:tr>
        <w:trPr>
          <w:trHeight w:val="240" w:hRule="atLeast"/>
        </w:trPr>
        <w:tc>
          <w:tcPr>
            <w:tcW w:w="4403" w:type="dxa"/>
            <w:tcBorders/>
            <w:vAlign w:val="center"/>
          </w:tcPr>
          <w:p>
            <w:pPr>
              <w:pStyle w:val="TableContents"/>
              <w:bidi w:val="0"/>
              <w:spacing w:before="0" w:after="283"/>
              <w:jc w:val="left"/>
              <w:rPr>
                <w:sz w:val="4"/>
                <w:szCs w:val="4"/>
              </w:rPr>
            </w:pPr>
            <w:r>
              <w:rPr>
                <w:sz w:val="4"/>
                <w:szCs w:val="4"/>
              </w:rPr>
            </w:r>
          </w:p>
        </w:tc>
        <w:tc>
          <w:tcPr>
            <w:tcW w:w="3661" w:type="dxa"/>
            <w:gridSpan w:val="2"/>
            <w:tcBorders/>
            <w:vAlign w:val="center"/>
          </w:tcPr>
          <w:p>
            <w:pPr>
              <w:pStyle w:val="TableContents"/>
              <w:bidi w:val="0"/>
              <w:spacing w:before="0" w:after="283"/>
              <w:jc w:val="left"/>
              <w:rPr>
                <w:sz w:val="4"/>
                <w:szCs w:val="4"/>
              </w:rPr>
            </w:pPr>
            <w:r>
              <w:rPr>
                <w:sz w:val="4"/>
                <w:szCs w:val="4"/>
              </w:rPr>
            </w:r>
          </w:p>
        </w:tc>
        <w:tc>
          <w:tcPr>
            <w:tcW w:w="2141" w:type="dxa"/>
            <w:gridSpan w:val="2"/>
            <w:tcBorders/>
            <w:vAlign w:val="center"/>
          </w:tcPr>
          <w:p>
            <w:pPr>
              <w:pStyle w:val="TableContents"/>
              <w:bidi w:val="0"/>
              <w:spacing w:before="0" w:after="283"/>
              <w:jc w:val="left"/>
              <w:rPr>
                <w:sz w:val="4"/>
                <w:szCs w:val="4"/>
              </w:rPr>
            </w:pPr>
            <w:r>
              <w:rPr>
                <w:sz w:val="4"/>
                <w:szCs w:val="4"/>
              </w:rPr>
            </w:r>
          </w:p>
        </w:tc>
      </w:tr>
      <w:tr>
        <w:trPr/>
        <w:tc>
          <w:tcPr>
            <w:tcW w:w="440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Rebecca Luse</w:t>
            </w:r>
          </w:p>
        </w:tc>
        <w:tc>
          <w:tcPr>
            <w:tcW w:w="120" w:type="dxa"/>
            <w:tcBorders/>
            <w:vAlign w:val="bottom"/>
          </w:tcPr>
          <w:p>
            <w:pPr>
              <w:pStyle w:val="TableContents"/>
              <w:bidi w:val="0"/>
              <w:spacing w:before="0" w:after="283"/>
              <w:jc w:val="left"/>
              <w:rPr/>
            </w:pPr>
            <w:r>
              <w:rPr/>
              <w:t>  </w:t>
            </w:r>
          </w:p>
        </w:tc>
        <w:tc>
          <w:tcPr>
            <w:tcW w:w="3541" w:type="dxa"/>
            <w:tcBorders/>
          </w:tcPr>
          <w:p>
            <w:pPr>
              <w:pStyle w:val="TableContents"/>
              <w:bidi w:val="0"/>
              <w:spacing w:before="0" w:after="283"/>
              <w:jc w:val="center"/>
              <w:rPr/>
            </w:pPr>
            <w:r>
              <w:rPr/>
              <w:t>Director</w:t>
            </w:r>
          </w:p>
        </w:tc>
        <w:tc>
          <w:tcPr>
            <w:tcW w:w="2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center"/>
              <w:rPr/>
            </w:pPr>
            <w:r>
              <w:rPr/>
              <w:t>August 4, 2026</w:t>
            </w:r>
          </w:p>
        </w:tc>
      </w:tr>
      <w:tr>
        <w:trPr>
          <w:trHeight w:val="240" w:hRule="atLeast"/>
        </w:trPr>
        <w:tc>
          <w:tcPr>
            <w:tcW w:w="4403" w:type="dxa"/>
            <w:tcBorders/>
            <w:vAlign w:val="center"/>
          </w:tcPr>
          <w:p>
            <w:pPr>
              <w:pStyle w:val="TableContents"/>
              <w:bidi w:val="0"/>
              <w:spacing w:before="0" w:after="283"/>
              <w:jc w:val="left"/>
              <w:rPr>
                <w:sz w:val="4"/>
                <w:szCs w:val="4"/>
              </w:rPr>
            </w:pPr>
            <w:r>
              <w:rPr>
                <w:sz w:val="4"/>
                <w:szCs w:val="4"/>
              </w:rPr>
            </w:r>
          </w:p>
        </w:tc>
        <w:tc>
          <w:tcPr>
            <w:tcW w:w="3661" w:type="dxa"/>
            <w:gridSpan w:val="2"/>
            <w:tcBorders/>
            <w:vAlign w:val="center"/>
          </w:tcPr>
          <w:p>
            <w:pPr>
              <w:pStyle w:val="TableContents"/>
              <w:bidi w:val="0"/>
              <w:spacing w:before="0" w:after="283"/>
              <w:jc w:val="left"/>
              <w:rPr>
                <w:sz w:val="4"/>
                <w:szCs w:val="4"/>
              </w:rPr>
            </w:pPr>
            <w:r>
              <w:rPr>
                <w:sz w:val="4"/>
                <w:szCs w:val="4"/>
              </w:rPr>
            </w:r>
          </w:p>
        </w:tc>
        <w:tc>
          <w:tcPr>
            <w:tcW w:w="2141" w:type="dxa"/>
            <w:gridSpan w:val="2"/>
            <w:tcBorders/>
            <w:vAlign w:val="center"/>
          </w:tcPr>
          <w:p>
            <w:pPr>
              <w:pStyle w:val="TableContents"/>
              <w:bidi w:val="0"/>
              <w:spacing w:before="0" w:after="283"/>
              <w:jc w:val="left"/>
              <w:rPr>
                <w:sz w:val="4"/>
                <w:szCs w:val="4"/>
              </w:rPr>
            </w:pPr>
            <w:r>
              <w:rPr>
                <w:sz w:val="4"/>
                <w:szCs w:val="4"/>
              </w:rPr>
            </w:r>
          </w:p>
        </w:tc>
      </w:tr>
      <w:tr>
        <w:trPr/>
        <w:tc>
          <w:tcPr>
            <w:tcW w:w="440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Aaron Royston, M.D.</w:t>
            </w:r>
          </w:p>
        </w:tc>
        <w:tc>
          <w:tcPr>
            <w:tcW w:w="120" w:type="dxa"/>
            <w:tcBorders/>
            <w:vAlign w:val="bottom"/>
          </w:tcPr>
          <w:p>
            <w:pPr>
              <w:pStyle w:val="TableContents"/>
              <w:bidi w:val="0"/>
              <w:spacing w:before="0" w:after="283"/>
              <w:jc w:val="left"/>
              <w:rPr/>
            </w:pPr>
            <w:r>
              <w:rPr/>
              <w:t>  </w:t>
            </w:r>
          </w:p>
        </w:tc>
        <w:tc>
          <w:tcPr>
            <w:tcW w:w="3541" w:type="dxa"/>
            <w:tcBorders/>
          </w:tcPr>
          <w:p>
            <w:pPr>
              <w:pStyle w:val="TableContents"/>
              <w:bidi w:val="0"/>
              <w:spacing w:before="0" w:after="283"/>
              <w:jc w:val="center"/>
              <w:rPr/>
            </w:pPr>
            <w:r>
              <w:rPr/>
              <w:t>Director</w:t>
            </w:r>
          </w:p>
        </w:tc>
        <w:tc>
          <w:tcPr>
            <w:tcW w:w="2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center"/>
              <w:rPr/>
            </w:pPr>
            <w:r>
              <w:rPr/>
              <w:t>August 4, 2026</w:t>
            </w:r>
          </w:p>
        </w:tc>
      </w:tr>
      <w:tr>
        <w:trPr>
          <w:trHeight w:val="240" w:hRule="atLeast"/>
        </w:trPr>
        <w:tc>
          <w:tcPr>
            <w:tcW w:w="4403" w:type="dxa"/>
            <w:tcBorders/>
            <w:vAlign w:val="center"/>
          </w:tcPr>
          <w:p>
            <w:pPr>
              <w:pStyle w:val="TableContents"/>
              <w:bidi w:val="0"/>
              <w:spacing w:before="0" w:after="283"/>
              <w:jc w:val="left"/>
              <w:rPr>
                <w:sz w:val="4"/>
                <w:szCs w:val="4"/>
              </w:rPr>
            </w:pPr>
            <w:r>
              <w:rPr>
                <w:sz w:val="4"/>
                <w:szCs w:val="4"/>
              </w:rPr>
            </w:r>
          </w:p>
        </w:tc>
        <w:tc>
          <w:tcPr>
            <w:tcW w:w="3661" w:type="dxa"/>
            <w:gridSpan w:val="2"/>
            <w:tcBorders/>
            <w:vAlign w:val="center"/>
          </w:tcPr>
          <w:p>
            <w:pPr>
              <w:pStyle w:val="TableContents"/>
              <w:bidi w:val="0"/>
              <w:spacing w:before="0" w:after="283"/>
              <w:jc w:val="left"/>
              <w:rPr>
                <w:sz w:val="4"/>
                <w:szCs w:val="4"/>
              </w:rPr>
            </w:pPr>
            <w:r>
              <w:rPr>
                <w:sz w:val="4"/>
                <w:szCs w:val="4"/>
              </w:rPr>
            </w:r>
          </w:p>
        </w:tc>
        <w:tc>
          <w:tcPr>
            <w:tcW w:w="2141" w:type="dxa"/>
            <w:gridSpan w:val="2"/>
            <w:tcBorders/>
            <w:vAlign w:val="center"/>
          </w:tcPr>
          <w:p>
            <w:pPr>
              <w:pStyle w:val="TableContents"/>
              <w:bidi w:val="0"/>
              <w:spacing w:before="0" w:after="283"/>
              <w:jc w:val="left"/>
              <w:rPr>
                <w:sz w:val="4"/>
                <w:szCs w:val="4"/>
              </w:rPr>
            </w:pPr>
            <w:r>
              <w:rPr>
                <w:sz w:val="4"/>
                <w:szCs w:val="4"/>
              </w:rPr>
            </w:r>
          </w:p>
        </w:tc>
      </w:tr>
      <w:tr>
        <w:trPr/>
        <w:tc>
          <w:tcPr>
            <w:tcW w:w="440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John W. Smither</w:t>
            </w:r>
          </w:p>
        </w:tc>
        <w:tc>
          <w:tcPr>
            <w:tcW w:w="120" w:type="dxa"/>
            <w:tcBorders/>
            <w:vAlign w:val="bottom"/>
          </w:tcPr>
          <w:p>
            <w:pPr>
              <w:pStyle w:val="TableContents"/>
              <w:bidi w:val="0"/>
              <w:spacing w:before="0" w:after="283"/>
              <w:jc w:val="left"/>
              <w:rPr/>
            </w:pPr>
            <w:r>
              <w:rPr/>
              <w:t>  </w:t>
            </w:r>
          </w:p>
        </w:tc>
        <w:tc>
          <w:tcPr>
            <w:tcW w:w="3541" w:type="dxa"/>
            <w:tcBorders/>
          </w:tcPr>
          <w:p>
            <w:pPr>
              <w:pStyle w:val="TableContents"/>
              <w:bidi w:val="0"/>
              <w:spacing w:before="0" w:after="283"/>
              <w:jc w:val="center"/>
              <w:rPr/>
            </w:pPr>
            <w:r>
              <w:rPr/>
              <w:t>Director</w:t>
            </w:r>
          </w:p>
        </w:tc>
        <w:tc>
          <w:tcPr>
            <w:tcW w:w="2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center"/>
              <w:rPr/>
            </w:pPr>
            <w:r>
              <w:rPr/>
              <w:t>August 4, 2026</w:t>
            </w:r>
          </w:p>
        </w:tc>
      </w:tr>
      <w:tr>
        <w:trPr>
          <w:trHeight w:val="240" w:hRule="atLeast"/>
        </w:trPr>
        <w:tc>
          <w:tcPr>
            <w:tcW w:w="4403" w:type="dxa"/>
            <w:tcBorders/>
            <w:vAlign w:val="center"/>
          </w:tcPr>
          <w:p>
            <w:pPr>
              <w:pStyle w:val="TableContents"/>
              <w:bidi w:val="0"/>
              <w:spacing w:before="0" w:after="283"/>
              <w:jc w:val="left"/>
              <w:rPr>
                <w:sz w:val="4"/>
                <w:szCs w:val="4"/>
              </w:rPr>
            </w:pPr>
            <w:r>
              <w:rPr>
                <w:sz w:val="4"/>
                <w:szCs w:val="4"/>
              </w:rPr>
            </w:r>
          </w:p>
        </w:tc>
        <w:tc>
          <w:tcPr>
            <w:tcW w:w="3661" w:type="dxa"/>
            <w:gridSpan w:val="2"/>
            <w:tcBorders/>
            <w:vAlign w:val="center"/>
          </w:tcPr>
          <w:p>
            <w:pPr>
              <w:pStyle w:val="TableContents"/>
              <w:bidi w:val="0"/>
              <w:spacing w:before="0" w:after="283"/>
              <w:jc w:val="left"/>
              <w:rPr>
                <w:sz w:val="4"/>
                <w:szCs w:val="4"/>
              </w:rPr>
            </w:pPr>
            <w:r>
              <w:rPr>
                <w:sz w:val="4"/>
                <w:szCs w:val="4"/>
              </w:rPr>
            </w:r>
          </w:p>
        </w:tc>
        <w:tc>
          <w:tcPr>
            <w:tcW w:w="2141" w:type="dxa"/>
            <w:gridSpan w:val="2"/>
            <w:tcBorders/>
            <w:vAlign w:val="center"/>
          </w:tcPr>
          <w:p>
            <w:pPr>
              <w:pStyle w:val="TableContents"/>
              <w:bidi w:val="0"/>
              <w:spacing w:before="0" w:after="283"/>
              <w:jc w:val="left"/>
              <w:rPr>
                <w:sz w:val="4"/>
                <w:szCs w:val="4"/>
              </w:rPr>
            </w:pPr>
            <w:r>
              <w:rPr>
                <w:sz w:val="4"/>
                <w:szCs w:val="4"/>
              </w:rPr>
            </w:r>
          </w:p>
        </w:tc>
      </w:tr>
      <w:tr>
        <w:trPr/>
        <w:tc>
          <w:tcPr>
            <w:tcW w:w="440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James Topper, M.D., Ph.D.</w:t>
            </w:r>
          </w:p>
        </w:tc>
        <w:tc>
          <w:tcPr>
            <w:tcW w:w="120" w:type="dxa"/>
            <w:tcBorders/>
            <w:vAlign w:val="bottom"/>
          </w:tcPr>
          <w:p>
            <w:pPr>
              <w:pStyle w:val="TableContents"/>
              <w:bidi w:val="0"/>
              <w:spacing w:before="0" w:after="283"/>
              <w:jc w:val="left"/>
              <w:rPr/>
            </w:pPr>
            <w:r>
              <w:rPr/>
              <w:t>  </w:t>
            </w:r>
          </w:p>
        </w:tc>
        <w:tc>
          <w:tcPr>
            <w:tcW w:w="3541" w:type="dxa"/>
            <w:tcBorders/>
          </w:tcPr>
          <w:p>
            <w:pPr>
              <w:pStyle w:val="TableContents"/>
              <w:bidi w:val="0"/>
              <w:spacing w:before="0" w:after="283"/>
              <w:jc w:val="center"/>
              <w:rPr/>
            </w:pPr>
            <w:r>
              <w:rPr/>
              <w:t>Director</w:t>
            </w:r>
          </w:p>
        </w:tc>
        <w:tc>
          <w:tcPr>
            <w:tcW w:w="2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center"/>
              <w:rPr/>
            </w:pPr>
            <w:r>
              <w:rPr/>
              <w:t>August 4, 2026</w:t>
            </w:r>
          </w:p>
        </w:tc>
      </w:tr>
      <w:tr>
        <w:trPr>
          <w:trHeight w:val="240" w:hRule="atLeast"/>
        </w:trPr>
        <w:tc>
          <w:tcPr>
            <w:tcW w:w="4403" w:type="dxa"/>
            <w:tcBorders/>
            <w:vAlign w:val="center"/>
          </w:tcPr>
          <w:p>
            <w:pPr>
              <w:pStyle w:val="TableContents"/>
              <w:bidi w:val="0"/>
              <w:spacing w:before="0" w:after="283"/>
              <w:jc w:val="left"/>
              <w:rPr>
                <w:sz w:val="4"/>
                <w:szCs w:val="4"/>
              </w:rPr>
            </w:pPr>
            <w:r>
              <w:rPr>
                <w:sz w:val="4"/>
                <w:szCs w:val="4"/>
              </w:rPr>
            </w:r>
          </w:p>
        </w:tc>
        <w:tc>
          <w:tcPr>
            <w:tcW w:w="3661" w:type="dxa"/>
            <w:gridSpan w:val="2"/>
            <w:tcBorders/>
            <w:vAlign w:val="center"/>
          </w:tcPr>
          <w:p>
            <w:pPr>
              <w:pStyle w:val="TableContents"/>
              <w:bidi w:val="0"/>
              <w:spacing w:before="0" w:after="283"/>
              <w:jc w:val="left"/>
              <w:rPr>
                <w:sz w:val="4"/>
                <w:szCs w:val="4"/>
              </w:rPr>
            </w:pPr>
            <w:r>
              <w:rPr>
                <w:sz w:val="4"/>
                <w:szCs w:val="4"/>
              </w:rPr>
            </w:r>
          </w:p>
        </w:tc>
        <w:tc>
          <w:tcPr>
            <w:tcW w:w="2141" w:type="dxa"/>
            <w:gridSpan w:val="2"/>
            <w:tcBorders/>
            <w:vAlign w:val="center"/>
          </w:tcPr>
          <w:p>
            <w:pPr>
              <w:pStyle w:val="TableContents"/>
              <w:bidi w:val="0"/>
              <w:spacing w:before="0" w:after="283"/>
              <w:jc w:val="left"/>
              <w:rPr>
                <w:sz w:val="4"/>
                <w:szCs w:val="4"/>
              </w:rPr>
            </w:pPr>
            <w:r>
              <w:rPr>
                <w:sz w:val="4"/>
                <w:szCs w:val="4"/>
              </w:rPr>
            </w:r>
          </w:p>
        </w:tc>
      </w:tr>
      <w:tr>
        <w:trPr/>
        <w:tc>
          <w:tcPr>
            <w:tcW w:w="440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Colin Walsh, Ph.D.</w:t>
            </w:r>
          </w:p>
        </w:tc>
        <w:tc>
          <w:tcPr>
            <w:tcW w:w="120" w:type="dxa"/>
            <w:tcBorders/>
            <w:vAlign w:val="bottom"/>
          </w:tcPr>
          <w:p>
            <w:pPr>
              <w:pStyle w:val="TableContents"/>
              <w:bidi w:val="0"/>
              <w:spacing w:before="0" w:after="283"/>
              <w:jc w:val="left"/>
              <w:rPr/>
            </w:pPr>
            <w:r>
              <w:rPr/>
              <w:t>  </w:t>
            </w:r>
          </w:p>
        </w:tc>
        <w:tc>
          <w:tcPr>
            <w:tcW w:w="3541" w:type="dxa"/>
            <w:tcBorders/>
          </w:tcPr>
          <w:p>
            <w:pPr>
              <w:pStyle w:val="TableContents"/>
              <w:bidi w:val="0"/>
              <w:spacing w:before="0" w:after="283"/>
              <w:jc w:val="center"/>
              <w:rPr/>
            </w:pPr>
            <w:r>
              <w:rPr/>
              <w:t>Director</w:t>
            </w:r>
          </w:p>
        </w:tc>
        <w:tc>
          <w:tcPr>
            <w:tcW w:w="2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center"/>
              <w:rPr/>
            </w:pPr>
            <w:r>
              <w:rPr/>
              <w:t>August 4, 2026</w:t>
            </w:r>
          </w:p>
        </w:tc>
      </w:tr>
      <w:tr>
        <w:trPr>
          <w:trHeight w:val="240" w:hRule="atLeast"/>
        </w:trPr>
        <w:tc>
          <w:tcPr>
            <w:tcW w:w="4403" w:type="dxa"/>
            <w:tcBorders/>
            <w:vAlign w:val="center"/>
          </w:tcPr>
          <w:p>
            <w:pPr>
              <w:pStyle w:val="TableContents"/>
              <w:bidi w:val="0"/>
              <w:spacing w:before="0" w:after="283"/>
              <w:jc w:val="left"/>
              <w:rPr>
                <w:sz w:val="4"/>
                <w:szCs w:val="4"/>
              </w:rPr>
            </w:pPr>
            <w:r>
              <w:rPr>
                <w:sz w:val="4"/>
                <w:szCs w:val="4"/>
              </w:rPr>
            </w:r>
          </w:p>
        </w:tc>
        <w:tc>
          <w:tcPr>
            <w:tcW w:w="3661" w:type="dxa"/>
            <w:gridSpan w:val="2"/>
            <w:tcBorders/>
            <w:vAlign w:val="center"/>
          </w:tcPr>
          <w:p>
            <w:pPr>
              <w:pStyle w:val="TableContents"/>
              <w:bidi w:val="0"/>
              <w:spacing w:before="0" w:after="283"/>
              <w:jc w:val="left"/>
              <w:rPr>
                <w:sz w:val="4"/>
                <w:szCs w:val="4"/>
              </w:rPr>
            </w:pPr>
            <w:r>
              <w:rPr>
                <w:sz w:val="4"/>
                <w:szCs w:val="4"/>
              </w:rPr>
            </w:r>
          </w:p>
        </w:tc>
        <w:tc>
          <w:tcPr>
            <w:tcW w:w="2141" w:type="dxa"/>
            <w:gridSpan w:val="2"/>
            <w:tcBorders/>
            <w:vAlign w:val="center"/>
          </w:tcPr>
          <w:p>
            <w:pPr>
              <w:pStyle w:val="TableContents"/>
              <w:bidi w:val="0"/>
              <w:spacing w:before="0" w:after="283"/>
              <w:jc w:val="left"/>
              <w:rPr>
                <w:sz w:val="4"/>
                <w:szCs w:val="4"/>
              </w:rPr>
            </w:pPr>
            <w:r>
              <w:rPr>
                <w:sz w:val="4"/>
                <w:szCs w:val="4"/>
              </w:rPr>
            </w:r>
          </w:p>
        </w:tc>
      </w:tr>
      <w:tr>
        <w:trPr/>
        <w:tc>
          <w:tcPr>
            <w:tcW w:w="440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Angie You, Ph.D.</w:t>
            </w:r>
          </w:p>
        </w:tc>
        <w:tc>
          <w:tcPr>
            <w:tcW w:w="120" w:type="dxa"/>
            <w:tcBorders/>
            <w:vAlign w:val="bottom"/>
          </w:tcPr>
          <w:p>
            <w:pPr>
              <w:pStyle w:val="TableContents"/>
              <w:bidi w:val="0"/>
              <w:spacing w:before="0" w:after="283"/>
              <w:jc w:val="left"/>
              <w:rPr/>
            </w:pPr>
            <w:r>
              <w:rPr/>
              <w:t>  </w:t>
            </w:r>
          </w:p>
        </w:tc>
        <w:tc>
          <w:tcPr>
            <w:tcW w:w="3541" w:type="dxa"/>
            <w:tcBorders/>
          </w:tcPr>
          <w:p>
            <w:pPr>
              <w:pStyle w:val="TableContents"/>
              <w:bidi w:val="0"/>
              <w:spacing w:before="0" w:after="283"/>
              <w:jc w:val="center"/>
              <w:rPr/>
            </w:pPr>
            <w:r>
              <w:rPr/>
              <w:t>Director</w:t>
            </w:r>
          </w:p>
        </w:tc>
        <w:tc>
          <w:tcPr>
            <w:tcW w:w="2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center"/>
              <w:rPr/>
            </w:pPr>
            <w:r>
              <w:rPr/>
              <w:t>August 4, 2026</w:t>
            </w:r>
          </w:p>
        </w:tc>
      </w:tr>
    </w:tbl>
    <w:tbl>
      <w:tblPr>
        <w:tblW w:w="5000" w:type="pct"/>
        <w:jc w:val="left"/>
        <w:tblInd w:w="0" w:type="dxa"/>
        <w:tblLayout w:type="fixed"/>
        <w:tblCellMar>
          <w:top w:w="0" w:type="dxa"/>
          <w:left w:w="0" w:type="dxa"/>
          <w:bottom w:w="0" w:type="dxa"/>
          <w:right w:w="0" w:type="dxa"/>
        </w:tblCellMar>
      </w:tblPr>
      <w:tblGrid>
        <w:gridCol w:w="510"/>
        <w:gridCol w:w="102"/>
        <w:gridCol w:w="4090"/>
        <w:gridCol w:w="60"/>
        <w:gridCol w:w="5317"/>
        <w:gridCol w:w="102"/>
        <w:gridCol w:w="24"/>
      </w:tblGrid>
      <w:tr>
        <w:trPr/>
        <w:tc>
          <w:tcPr>
            <w:tcW w:w="51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31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510" w:type="dxa"/>
            <w:tcBorders/>
            <w:vAlign w:val="center"/>
          </w:tcPr>
          <w:p>
            <w:pPr>
              <w:pStyle w:val="TableContents"/>
              <w:bidi w:val="0"/>
              <w:spacing w:before="0" w:after="283"/>
              <w:jc w:val="left"/>
              <w:rPr>
                <w:sz w:val="4"/>
                <w:szCs w:val="4"/>
              </w:rPr>
            </w:pPr>
            <w:r>
              <w:rPr>
                <w:sz w:val="4"/>
                <w:szCs w:val="4"/>
              </w:rPr>
            </w:r>
          </w:p>
        </w:tc>
        <w:tc>
          <w:tcPr>
            <w:tcW w:w="4192" w:type="dxa"/>
            <w:gridSpan w:val="2"/>
            <w:tcBorders/>
            <w:vAlign w:val="center"/>
          </w:tcPr>
          <w:p>
            <w:pPr>
              <w:pStyle w:val="TableContents"/>
              <w:bidi w:val="0"/>
              <w:spacing w:before="0" w:after="283"/>
              <w:jc w:val="left"/>
              <w:rPr>
                <w:sz w:val="4"/>
                <w:szCs w:val="4"/>
              </w:rPr>
            </w:pPr>
            <w:r>
              <w:rPr>
                <w:sz w:val="4"/>
                <w:szCs w:val="4"/>
              </w:rPr>
            </w:r>
          </w:p>
        </w:tc>
        <w:tc>
          <w:tcPr>
            <w:tcW w:w="5377" w:type="dxa"/>
            <w:gridSpan w:val="2"/>
            <w:tcBorders/>
            <w:vAlign w:val="center"/>
          </w:tcPr>
          <w:p>
            <w:pPr>
              <w:pStyle w:val="TableContents"/>
              <w:bidi w:val="0"/>
              <w:spacing w:before="0" w:after="283"/>
              <w:jc w:val="left"/>
              <w:rPr>
                <w:sz w:val="4"/>
                <w:szCs w:val="4"/>
              </w:rPr>
            </w:pPr>
            <w:r>
              <w:rPr>
                <w:sz w:val="4"/>
                <w:szCs w:val="4"/>
              </w:rPr>
            </w:r>
          </w:p>
        </w:tc>
        <w:tc>
          <w:tcPr>
            <w:tcW w:w="126" w:type="dxa"/>
            <w:gridSpan w:val="2"/>
            <w:tcBorders/>
            <w:vAlign w:val="center"/>
          </w:tcPr>
          <w:p>
            <w:pPr>
              <w:pStyle w:val="TableContents"/>
              <w:bidi w:val="0"/>
              <w:spacing w:before="0" w:after="283"/>
              <w:jc w:val="left"/>
              <w:rPr>
                <w:sz w:val="4"/>
                <w:szCs w:val="4"/>
              </w:rPr>
            </w:pPr>
            <w:r>
              <w:rPr>
                <w:sz w:val="4"/>
                <w:szCs w:val="4"/>
              </w:rPr>
            </w:r>
          </w:p>
        </w:tc>
      </w:tr>
      <w:tr>
        <w:trPr/>
        <w:tc>
          <w:tcPr>
            <w:tcW w:w="510" w:type="dxa"/>
            <w:tcBorders/>
          </w:tcPr>
          <w:p>
            <w:pPr>
              <w:pStyle w:val="TableContents"/>
              <w:bidi w:val="0"/>
              <w:spacing w:before="0" w:after="283"/>
              <w:jc w:val="left"/>
              <w:rPr/>
            </w:pPr>
            <w:r>
              <w:rPr/>
              <w:t>* By: </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090" w:type="dxa"/>
            <w:tcBorders>
              <w:bottom w:val="single" w:sz="2" w:space="0" w:color="000000"/>
            </w:tcBorders>
            <w:tcMar>
              <w:bottom w:w="28" w:type="dxa"/>
            </w:tcMar>
          </w:tcPr>
          <w:p>
            <w:pPr>
              <w:pStyle w:val="TableContents"/>
              <w:bidi w:val="0"/>
              <w:spacing w:before="0" w:after="283"/>
              <w:jc w:val="center"/>
              <w:rPr/>
            </w:pPr>
            <w:r>
              <w:rPr/>
              <w:t>/s/ Tao Fu   </w:t>
            </w:r>
          </w:p>
        </w:tc>
        <w:tc>
          <w:tcPr>
            <w:tcW w:w="60" w:type="dxa"/>
            <w:tcBorders/>
            <w:vAlign w:val="bottom"/>
          </w:tcPr>
          <w:p>
            <w:pPr>
              <w:pStyle w:val="TableContents"/>
              <w:bidi w:val="0"/>
              <w:spacing w:before="0" w:after="283"/>
              <w:jc w:val="left"/>
              <w:rPr/>
            </w:pPr>
            <w:r>
              <w:rPr/>
              <w:t> </w:t>
            </w:r>
          </w:p>
        </w:tc>
        <w:tc>
          <w:tcPr>
            <w:tcW w:w="531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4" w:type="dxa"/>
            <w:tcBorders/>
          </w:tcPr>
          <w:p>
            <w:pPr>
              <w:pStyle w:val="TableContents"/>
              <w:bidi w:val="0"/>
              <w:spacing w:before="0" w:after="283"/>
              <w:jc w:val="left"/>
              <w:rPr>
                <w:sz w:val="4"/>
                <w:szCs w:val="4"/>
              </w:rPr>
            </w:pPr>
            <w:r>
              <w:rPr>
                <w:sz w:val="4"/>
                <w:szCs w:val="4"/>
              </w:rPr>
            </w:r>
          </w:p>
        </w:tc>
      </w:tr>
      <w:tr>
        <w:trPr/>
        <w:tc>
          <w:tcPr>
            <w:tcW w:w="5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90" w:type="dxa"/>
            <w:tcBorders/>
            <w:vAlign w:val="bottom"/>
          </w:tcPr>
          <w:p>
            <w:pPr>
              <w:pStyle w:val="TableContents"/>
              <w:bidi w:val="0"/>
              <w:spacing w:before="0" w:after="283"/>
              <w:jc w:val="center"/>
              <w:rPr/>
            </w:pPr>
            <w:r>
              <w:rPr/>
              <w:t>Tao Fu   </w:t>
            </w:r>
          </w:p>
        </w:tc>
        <w:tc>
          <w:tcPr>
            <w:tcW w:w="60" w:type="dxa"/>
            <w:tcBorders/>
            <w:vAlign w:val="bottom"/>
          </w:tcPr>
          <w:p>
            <w:pPr>
              <w:pStyle w:val="TableContents"/>
              <w:bidi w:val="0"/>
              <w:spacing w:before="0" w:after="283"/>
              <w:jc w:val="left"/>
              <w:rPr/>
            </w:pPr>
            <w:r>
              <w:rPr/>
              <w:t> </w:t>
            </w:r>
          </w:p>
        </w:tc>
        <w:tc>
          <w:tcPr>
            <w:tcW w:w="5317"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4" w:type="dxa"/>
            <w:tcBorders/>
            <w:vAlign w:val="bottom"/>
          </w:tcPr>
          <w:p>
            <w:pPr>
              <w:pStyle w:val="TableContents"/>
              <w:bidi w:val="0"/>
              <w:spacing w:before="0" w:after="283"/>
              <w:jc w:val="left"/>
              <w:rPr>
                <w:sz w:val="4"/>
                <w:szCs w:val="4"/>
              </w:rPr>
            </w:pPr>
            <w:r>
              <w:rPr>
                <w:sz w:val="4"/>
                <w:szCs w:val="4"/>
              </w:rPr>
            </w:r>
          </w:p>
        </w:tc>
      </w:tr>
      <w:tr>
        <w:trPr/>
        <w:tc>
          <w:tcPr>
            <w:tcW w:w="5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90" w:type="dxa"/>
            <w:tcBorders/>
            <w:vAlign w:val="bottom"/>
          </w:tcPr>
          <w:p>
            <w:pPr>
              <w:pStyle w:val="TableContents"/>
              <w:bidi w:val="0"/>
              <w:spacing w:before="0" w:after="283"/>
              <w:jc w:val="center"/>
              <w:rPr/>
            </w:pPr>
            <w:r>
              <w:rPr/>
              <w:t>Attorney-in-Fact   </w:t>
            </w:r>
          </w:p>
        </w:tc>
        <w:tc>
          <w:tcPr>
            <w:tcW w:w="60" w:type="dxa"/>
            <w:tcBorders/>
            <w:vAlign w:val="bottom"/>
          </w:tcPr>
          <w:p>
            <w:pPr>
              <w:pStyle w:val="TableContents"/>
              <w:bidi w:val="0"/>
              <w:spacing w:before="0" w:after="283"/>
              <w:jc w:val="left"/>
              <w:rPr/>
            </w:pPr>
            <w:r>
              <w:rPr/>
              <w:t> </w:t>
            </w:r>
          </w:p>
        </w:tc>
        <w:tc>
          <w:tcPr>
            <w:tcW w:w="5317"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p>
    <w:p>
      <w:pPr>
        <w:pStyle w:val="TextBody"/>
        <w:bidi w:val="0"/>
        <w:spacing w:before="0" w:after="0"/>
        <w:jc w:val="right"/>
        <w:rPr>
          <w:rFonts w:ascii="Times New Roman" w:hAnsi="Times New Roman"/>
          <w:b/>
          <w:sz w:val="20"/>
        </w:rPr>
      </w:pPr>
      <w:bookmarkStart w:id="37" w:name="d40469dex51.htm"/>
      <w:bookmarkStart w:id="38" w:name="ksd40469dex51"/>
      <w:bookmarkEnd w:id="37"/>
      <w:bookmarkEnd w:id="38"/>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21"/>
        <w:gridCol w:w="120"/>
        <w:gridCol w:w="1793"/>
        <w:gridCol w:w="120"/>
        <w:gridCol w:w="1451"/>
      </w:tblGrid>
      <w:tr>
        <w:trPr/>
        <w:tc>
          <w:tcPr>
            <w:tcW w:w="67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r>
      <w:tr>
        <w:trPr/>
        <w:tc>
          <w:tcPr>
            <w:tcW w:w="6721" w:type="dxa"/>
            <w:tcBorders/>
          </w:tcPr>
          <w:p>
            <w:pPr>
              <w:pStyle w:val="TableContents"/>
              <w:bidi w:val="0"/>
              <w:spacing w:before="0" w:after="283"/>
              <w:jc w:val="left"/>
              <w:rPr/>
            </w:pPr>
            <w:r>
              <w:rPr/>
              <w:drawing>
                <wp:inline distT="0" distB="0" distL="0" distR="0">
                  <wp:extent cx="1847850" cy="323850"/>
                  <wp:effectExtent l="0" t="0" r="0" b="0"/>
                  <wp:docPr id="4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2" descr=""/>
                          <pic:cNvPicPr>
                            <a:picLocks noChangeAspect="1" noChangeArrowheads="1"/>
                          </pic:cNvPicPr>
                        </pic:nvPicPr>
                        <pic:blipFill>
                          <a:blip r:embed="rId64"/>
                          <a:stretch>
                            <a:fillRect/>
                          </a:stretch>
                        </pic:blipFill>
                        <pic:spPr bwMode="auto">
                          <a:xfrm>
                            <a:off x="0" y="0"/>
                            <a:ext cx="1847850" cy="3238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1793" w:type="dxa"/>
            <w:tcBorders/>
          </w:tcPr>
          <w:p>
            <w:pPr>
              <w:pStyle w:val="TableContents"/>
              <w:bidi w:val="0"/>
              <w:spacing w:before="0" w:after="283"/>
              <w:jc w:val="left"/>
              <w:rPr/>
            </w:pPr>
            <w:r>
              <w:rPr/>
              <w:drawing>
                <wp:inline distT="0" distB="0" distL="0" distR="0">
                  <wp:extent cx="914400" cy="428625"/>
                  <wp:effectExtent l="0" t="0" r="0" b="0"/>
                  <wp:docPr id="4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3" descr=""/>
                          <pic:cNvPicPr>
                            <a:picLocks noChangeAspect="1" noChangeArrowheads="1"/>
                          </pic:cNvPicPr>
                        </pic:nvPicPr>
                        <pic:blipFill>
                          <a:blip r:embed="rId65"/>
                          <a:stretch>
                            <a:fillRect/>
                          </a:stretch>
                        </pic:blipFill>
                        <pic:spPr bwMode="auto">
                          <a:xfrm>
                            <a:off x="0" y="0"/>
                            <a:ext cx="914400" cy="4286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1451" w:type="dxa"/>
            <w:tcBorders/>
          </w:tcPr>
          <w:p>
            <w:pPr>
              <w:pStyle w:val="TableContents"/>
              <w:bidi w:val="0"/>
              <w:spacing w:before="0" w:after="283"/>
              <w:jc w:val="left"/>
              <w:rPr/>
            </w:pPr>
            <w:r>
              <w:rPr/>
              <w:drawing>
                <wp:inline distT="0" distB="0" distL="0" distR="0">
                  <wp:extent cx="723900" cy="295275"/>
                  <wp:effectExtent l="0" t="0" r="0" b="0"/>
                  <wp:docPr id="4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4" descr=""/>
                          <pic:cNvPicPr>
                            <a:picLocks noChangeAspect="1" noChangeArrowheads="1"/>
                          </pic:cNvPicPr>
                        </pic:nvPicPr>
                        <pic:blipFill>
                          <a:blip r:embed="rId66"/>
                          <a:stretch>
                            <a:fillRect/>
                          </a:stretch>
                        </pic:blipFill>
                        <pic:spPr bwMode="auto">
                          <a:xfrm>
                            <a:off x="0" y="0"/>
                            <a:ext cx="723900" cy="295275"/>
                          </a:xfrm>
                          <a:prstGeom prst="rect">
                            <a:avLst/>
                          </a:prstGeom>
                        </pic:spPr>
                      </pic:pic>
                    </a:graphicData>
                  </a:graphic>
                </wp:inline>
              </w:drawing>
            </w:r>
            <w:r>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August 4, 2026 </w:t>
      </w:r>
    </w:p>
    <w:p>
      <w:pPr>
        <w:pStyle w:val="TextBody"/>
        <w:bidi w:val="0"/>
        <w:spacing w:before="240" w:after="0"/>
        <w:jc w:val="left"/>
        <w:rPr>
          <w:rFonts w:ascii="Times New Roman" w:hAnsi="Times New Roman"/>
          <w:sz w:val="20"/>
        </w:rPr>
      </w:pPr>
      <w:r>
        <w:rPr>
          <w:rFonts w:ascii="Times New Roman" w:hAnsi="Times New Roman"/>
          <w:sz w:val="20"/>
        </w:rPr>
        <w:t xml:space="preserve">Attovia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1091 Industrial Road, Suite 310, </w:t>
      </w:r>
    </w:p>
    <w:p>
      <w:pPr>
        <w:pStyle w:val="TextBody"/>
        <w:bidi w:val="0"/>
        <w:spacing w:before="0" w:after="0"/>
        <w:jc w:val="left"/>
        <w:rPr>
          <w:rFonts w:ascii="Times New Roman" w:hAnsi="Times New Roman"/>
          <w:sz w:val="20"/>
        </w:rPr>
      </w:pPr>
      <w:r>
        <w:rPr>
          <w:rFonts w:ascii="Times New Roman" w:hAnsi="Times New Roman"/>
          <w:sz w:val="20"/>
        </w:rPr>
        <w:t xml:space="preserve">San Carlos, California 94070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Registration Statement on Form S-1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As counsel to Attovia Therapeutics, Inc., a Delaware corporation (the “</w:t>
      </w:r>
      <w:r>
        <w:rPr>
          <w:rFonts w:ascii="Times New Roman" w:hAnsi="Times New Roman"/>
          <w:b/>
          <w:i/>
          <w:sz w:val="20"/>
        </w:rPr>
        <w:t>Company</w:t>
      </w:r>
      <w:r>
        <w:rPr>
          <w:rFonts w:ascii="Times New Roman" w:hAnsi="Times New Roman"/>
          <w:sz w:val="20"/>
        </w:rPr>
        <w:t>”), we have examined the Registration Statement on Form S-1 (File Number 333-297452) initially filed by the Company with the Securities and Exchange Commission (the “</w:t>
      </w:r>
      <w:r>
        <w:rPr>
          <w:rFonts w:ascii="Times New Roman" w:hAnsi="Times New Roman"/>
          <w:b/>
          <w:i/>
          <w:sz w:val="20"/>
        </w:rPr>
        <w:t>Commission</w:t>
      </w:r>
      <w:r>
        <w:rPr>
          <w:rFonts w:ascii="Times New Roman" w:hAnsi="Times New Roman"/>
          <w:sz w:val="20"/>
        </w:rPr>
        <w:t>”) on or about July 14, 2026 (the “</w:t>
      </w:r>
      <w:r>
        <w:rPr>
          <w:rFonts w:ascii="Times New Roman" w:hAnsi="Times New Roman"/>
          <w:b/>
          <w:i/>
          <w:sz w:val="20"/>
        </w:rPr>
        <w:t>Registration Statement</w:t>
      </w:r>
      <w:r>
        <w:rPr>
          <w:rFonts w:ascii="Times New Roman" w:hAnsi="Times New Roman"/>
          <w:sz w:val="20"/>
        </w:rPr>
        <w:t>”), as subsequently amended on July 29, 2026 and as further amended on August 4, 2026, including a related prospectus included in the Registration Statement (the “</w:t>
      </w:r>
      <w:r>
        <w:rPr>
          <w:rFonts w:ascii="Times New Roman" w:hAnsi="Times New Roman"/>
          <w:b/>
          <w:i/>
          <w:sz w:val="20"/>
        </w:rPr>
        <w:t>Prospectus</w:t>
      </w:r>
      <w:r>
        <w:rPr>
          <w:rFonts w:ascii="Times New Roman" w:hAnsi="Times New Roman"/>
          <w:sz w:val="20"/>
        </w:rPr>
        <w:t>”), in connection with the registration under the Securities Act of 1933, as amended (the “</w:t>
      </w:r>
      <w:r>
        <w:rPr>
          <w:rFonts w:ascii="Times New Roman" w:hAnsi="Times New Roman"/>
          <w:b/>
          <w:i/>
          <w:sz w:val="20"/>
        </w:rPr>
        <w:t>Securities Act</w:t>
      </w:r>
      <w:r>
        <w:rPr>
          <w:rFonts w:ascii="Times New Roman" w:hAnsi="Times New Roman"/>
          <w:sz w:val="20"/>
        </w:rPr>
        <w:t>”), of an aggregate of 19,550,000 shares of the Company’s common stock, $0.0001 par value per share (the “</w:t>
      </w:r>
      <w:r>
        <w:rPr>
          <w:rFonts w:ascii="Times New Roman" w:hAnsi="Times New Roman"/>
          <w:b/>
          <w:i/>
          <w:sz w:val="20"/>
        </w:rPr>
        <w:t>Shares</w:t>
      </w:r>
      <w:r>
        <w:rPr>
          <w:rFonts w:ascii="Times New Roman" w:hAnsi="Times New Roman"/>
          <w:sz w:val="20"/>
        </w:rPr>
        <w:t xml:space="preserve">”). This letter is being furnished in connection with the requirements of Item 601(b)(5) of Regulation S-K under the Securities Act, and no opinion is expressed herein as to any matter pertaining to the contents of the Registration Statement or related Prospectus, other than as expressly stated herein with respect to the issue of the Shares. </w:t>
      </w:r>
    </w:p>
    <w:p>
      <w:pPr>
        <w:pStyle w:val="TextBody"/>
        <w:bidi w:val="0"/>
        <w:spacing w:before="240" w:after="0"/>
        <w:jc w:val="left"/>
        <w:rPr>
          <w:rFonts w:ascii="Times New Roman" w:hAnsi="Times New Roman"/>
          <w:sz w:val="20"/>
        </w:rPr>
      </w:pPr>
      <w:r>
        <w:rPr>
          <w:rFonts w:ascii="Times New Roman" w:hAnsi="Times New Roman"/>
          <w:sz w:val="20"/>
        </w:rPr>
        <w:t xml:space="preserve">As to matters of fact relevant to the opinions rendered herein, we have examined such documents, certificates and other instruments which we have deemed necessary or advisable, including a certificate addressed to us and dated the date hereof executed by the Company. We have not undertaken any independent investigation to verify the accuracy of any such information, representations or warranties or to determine the existence or absence of any fact, and no inference as to our knowledge of the existence or absence of any fact should be drawn from our representation of the Company or the rendering of the opinions set forth below. We have not considered parol evidence in connection with any of the agreements or instruments reviewed by us in connection with this letter. </w:t>
      </w:r>
    </w:p>
    <w:p>
      <w:pPr>
        <w:pStyle w:val="TextBody"/>
        <w:bidi w:val="0"/>
        <w:spacing w:before="240" w:after="0"/>
        <w:jc w:val="left"/>
        <w:rPr>
          <w:rFonts w:ascii="Times New Roman" w:hAnsi="Times New Roman"/>
          <w:sz w:val="20"/>
        </w:rPr>
      </w:pPr>
      <w:r>
        <w:rPr>
          <w:rFonts w:ascii="Times New Roman" w:hAnsi="Times New Roman"/>
          <w:sz w:val="20"/>
        </w:rPr>
        <w:t>In our examination of documents for purposes of this letter, we have assumed, and express no opinion as to, the genuineness and authenticity of all signatures on original documents, the authenticity and completeness of all documents submitted to us as originals, that each document is what it purports to be, the conformity to originals of all documents submitted to us as copies or facsimile copies, the absence of any termination, modification or waiver of or amendment to any document reviewed by us (other than as has been disclosed to us), the legal competence or capacity of all persons or entities (other than the Company) executing the same and (other than the Company) the due authorization, execution and delivery of all documents by each party thereto. We have also assumed the conformity of the documents filed with the Commission via the Electronic Data Gathering, Analysis and Retrieval System (“</w:t>
      </w:r>
      <w:r>
        <w:rPr>
          <w:rFonts w:ascii="Times New Roman" w:hAnsi="Times New Roman"/>
          <w:b/>
          <w:i/>
          <w:sz w:val="20"/>
        </w:rPr>
        <w:t>EDGAR</w:t>
      </w:r>
      <w:r>
        <w:rPr>
          <w:rFonts w:ascii="Times New Roman" w:hAnsi="Times New Roman"/>
          <w:sz w:val="20"/>
        </w:rPr>
        <w:t xml:space="preserve">”), except for required EDGAR formatting changes, to physical copies submitted for our examination.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Attovia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August 4,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opinions in this letter are limited to the existing General Corporation Law of the State of Delaware now in effect. We express no opinion with respect to any other laws.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opinion expressed below, we have assumed that, (i) the Registration Statement and any amendments (including any necessary post-effective amendments) will have been declared effective under the Securities Act, (ii) the Registration Statement will apply to the offer and sale of the Shares and will not have been modified or rescinded and (iii) the Company’s Amended and Restated Certificate of Incorporation, a form of which has been filed as an exhibit to the Registration Statement is filed with the Secretary of State of the State of Delaware before issuance of the Shares.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qualifications and exceptions contained herein, we are of the opinion that the Shares, when issued, sold and delivered in the manner and for the consideration stated in the Registration Statement and the Prospectus, and in accordance with the resolutions adopted by the Company’s board of directors and to be adopted by the Pricing Committee thereof,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this opinion as an exhibit to the Registration Statement and further consent to all references to us, if any, in the Registration Statement, the Prospectus and any amendments thereto. In giving this consent we do not thereby admit that we come within the category of persons whose consent is required under Section 7 of the Securities Act or the rules and regulations of the Commission thereunder. </w:t>
      </w:r>
    </w:p>
    <w:p>
      <w:pPr>
        <w:pStyle w:val="TextBody"/>
        <w:bidi w:val="0"/>
        <w:spacing w:before="240" w:after="0"/>
        <w:jc w:val="center"/>
        <w:rPr>
          <w:rFonts w:ascii="Times New Roman" w:hAnsi="Times New Roman"/>
          <w:i/>
          <w:sz w:val="20"/>
        </w:rPr>
      </w:pPr>
      <w:r>
        <w:rPr>
          <w:rFonts w:ascii="Times New Roman" w:hAnsi="Times New Roman"/>
          <w:i/>
          <w:sz w:val="20"/>
        </w:rPr>
        <w:t xml:space="preserve">[Concluding Paragraph Follows on Next Page]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Attovia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August 4,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opinion is intended solely for use in connection with the issuance and sale of the Shares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is based solely on our understanding of facts in existence as of such date after the aforementioned examination and does not address any potential changes in facts, circumstance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FENWICK &amp; WEST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FENWICK &amp; WEST LLP</w:t>
            </w:r>
          </w:p>
        </w:tc>
      </w:tr>
    </w:tbl>
    <w:p>
      <w:pPr>
        <w:pStyle w:val="TextBody"/>
        <w:bidi w:val="0"/>
        <w:spacing w:before="0" w:after="0"/>
        <w:jc w:val="right"/>
        <w:rPr>
          <w:rFonts w:ascii="Times New Roman" w:hAnsi="Times New Roman"/>
          <w:b/>
          <w:sz w:val="20"/>
        </w:rPr>
      </w:pPr>
      <w:bookmarkStart w:id="39" w:name="d40469dex231.htm"/>
      <w:bookmarkStart w:id="40" w:name="ksd40469dex231"/>
      <w:bookmarkEnd w:id="39"/>
      <w:bookmarkEnd w:id="40"/>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use in this Registration Statement on Form S-1 of Attovia Therapeutics, Inc. of our report dated June 5, 2026, except for the effects of the reverse stock split discussed in Note 16 to the financial statements, as to which the date is July 29, 2026 relating to the financial statements of Attovia Therapeutics, Inc., which appears in this Registration Statement. We also consent to the reference to us under the heading “Experts” in such Registration Statement.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PricewaterhouseCoopers LLP</w:t>
            </w:r>
          </w:p>
        </w:tc>
      </w:tr>
      <w:tr>
        <w:trPr/>
        <w:tc>
          <w:tcPr>
            <w:tcW w:w="4082" w:type="dxa"/>
            <w:tcBorders/>
          </w:tcPr>
          <w:p>
            <w:pPr>
              <w:pStyle w:val="TableContents"/>
              <w:bidi w:val="0"/>
              <w:spacing w:before="0" w:after="283"/>
              <w:jc w:val="left"/>
              <w:rPr/>
            </w:pPr>
            <w:r>
              <w:rPr/>
              <w:t>San Jose, California</w:t>
            </w:r>
          </w:p>
        </w:tc>
      </w:tr>
      <w:tr>
        <w:trPr/>
        <w:tc>
          <w:tcPr>
            <w:tcW w:w="4082" w:type="dxa"/>
            <w:tcBorders/>
          </w:tcPr>
          <w:p>
            <w:pPr>
              <w:pStyle w:val="TableContents"/>
              <w:bidi w:val="0"/>
              <w:spacing w:before="0" w:after="283"/>
              <w:jc w:val="left"/>
              <w:rPr/>
            </w:pPr>
            <w:r>
              <w:rPr/>
              <w:t>August 4, 2026</w:t>
            </w:r>
          </w:p>
        </w:tc>
      </w:tr>
    </w:tbl>
    <w:p>
      <w:pPr>
        <w:pStyle w:val="Normal"/>
        <w:bidi w:val="0"/>
        <w:spacing w:before="0" w:after="0"/>
        <w:jc w:val="left"/>
        <w:rPr>
          <w:sz w:val="4"/>
          <w:szCs w:val="4"/>
        </w:rPr>
      </w:pPr>
      <w:r>
        <w:rPr>
          <w:sz w:val="4"/>
          <w:szCs w:val="4"/>
        </w:rPr>
      </w:r>
      <w:bookmarkStart w:id="41" w:name="d40469dexfilingfees.htm"/>
      <w:bookmarkStart w:id="42" w:name="ksd40469dexfilingfees"/>
      <w:bookmarkStart w:id="43" w:name="d40469dexfilingfees.htm"/>
      <w:bookmarkStart w:id="44" w:name="ksd40469dexfilingfees"/>
      <w:bookmarkEnd w:id="43"/>
      <w:bookmarkEnd w:id="44"/>
      <w:r>
        <w:br w:type="page"/>
      </w:r>
    </w:p>
    <w:tbl>
      <w:tblPr>
        <w:tblW w:w="3577" w:type="dxa"/>
        <w:jc w:val="left"/>
        <w:tblInd w:w="0" w:type="dxa"/>
        <w:tblLayout w:type="fixed"/>
        <w:tblCellMar>
          <w:top w:w="28" w:type="dxa"/>
          <w:left w:w="28" w:type="dxa"/>
          <w:bottom w:w="28" w:type="dxa"/>
          <w:right w:w="28" w:type="dxa"/>
        </w:tblCellMar>
      </w:tblPr>
      <w:tblGrid>
        <w:gridCol w:w="3423"/>
        <w:gridCol w:w="154"/>
      </w:tblGrid>
      <w:tr>
        <w:trPr/>
        <w:tc>
          <w:tcPr>
            <w:tcW w:w="357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3" w:type="dxa"/>
            <w:tcBorders/>
            <w:vAlign w:val="center"/>
          </w:tcPr>
          <w:p>
            <w:pPr>
              <w:pStyle w:val="TableContents"/>
              <w:bidi w:val="0"/>
              <w:spacing w:before="0" w:after="283"/>
              <w:jc w:val="left"/>
              <w:rPr>
                <w:b/>
              </w:rPr>
            </w:pPr>
            <w:r>
              <w:rPr>
                <w:b/>
              </w:rPr>
              <w:t xml:space="preserve">S-1 </w:t>
            </w:r>
          </w:p>
        </w:tc>
        <w:tc>
          <w:tcPr>
            <w:tcW w:w="154" w:type="dxa"/>
            <w:tcBorders/>
          </w:tcPr>
          <w:p>
            <w:pPr>
              <w:pStyle w:val="TableContents"/>
              <w:bidi w:val="0"/>
              <w:spacing w:before="0" w:after="283"/>
              <w:jc w:val="left"/>
              <w:rPr>
                <w:sz w:val="4"/>
                <w:szCs w:val="4"/>
              </w:rPr>
            </w:pPr>
            <w:r>
              <w:rPr>
                <w:sz w:val="4"/>
                <w:szCs w:val="4"/>
              </w:rPr>
            </w:r>
          </w:p>
        </w:tc>
      </w:tr>
      <w:tr>
        <w:trPr/>
        <w:tc>
          <w:tcPr>
            <w:tcW w:w="3423" w:type="dxa"/>
            <w:tcBorders/>
            <w:vAlign w:val="center"/>
          </w:tcPr>
          <w:p>
            <w:pPr>
              <w:pStyle w:val="TableContents"/>
              <w:bidi w:val="0"/>
              <w:spacing w:before="0" w:after="283"/>
              <w:jc w:val="left"/>
              <w:rPr>
                <w:b/>
              </w:rPr>
            </w:pPr>
            <w:r>
              <w:rPr>
                <w:b/>
              </w:rPr>
              <w:t xml:space="preserve">Attovia Therapeutics,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$0.0001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5,175,000 </w:t>
            </w:r>
          </w:p>
        </w:tc>
        <w:tc>
          <w:tcPr>
            <w:tcW w:w="1156" w:type="dxa"/>
            <w:tcBorders/>
            <w:shd w:fill="E7E7E2" w:val="clear"/>
            <w:vAlign w:val="center"/>
          </w:tcPr>
          <w:p>
            <w:pPr>
              <w:pStyle w:val="TableContents"/>
              <w:bidi w:val="0"/>
              <w:spacing w:before="0" w:after="283"/>
              <w:jc w:val="right"/>
              <w:rPr/>
            </w:pPr>
            <w:r>
              <w:rPr/>
              <w:t xml:space="preserve">$ 17.00 </w:t>
            </w:r>
          </w:p>
        </w:tc>
        <w:tc>
          <w:tcPr>
            <w:tcW w:w="1786" w:type="dxa"/>
            <w:tcBorders/>
            <w:shd w:fill="E7E7E2" w:val="clear"/>
            <w:vAlign w:val="center"/>
          </w:tcPr>
          <w:p>
            <w:pPr>
              <w:pStyle w:val="TableContents"/>
              <w:bidi w:val="0"/>
              <w:spacing w:before="0" w:after="283"/>
              <w:jc w:val="right"/>
              <w:rPr/>
            </w:pPr>
            <w:r>
              <w:rPr/>
              <w:t xml:space="preserve">$ 87,975,000.00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$ 12,149.35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$0.0001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8,492,648 </w:t>
            </w:r>
          </w:p>
        </w:tc>
        <w:tc>
          <w:tcPr>
            <w:tcW w:w="1156" w:type="dxa"/>
            <w:tcBorders/>
            <w:shd w:fill="E7E7E2" w:val="clear"/>
            <w:vAlign w:val="center"/>
          </w:tcPr>
          <w:p>
            <w:pPr>
              <w:pStyle w:val="TableContents"/>
              <w:bidi w:val="0"/>
              <w:spacing w:before="0" w:after="283"/>
              <w:jc w:val="right"/>
              <w:rPr/>
            </w:pPr>
            <w:r>
              <w:rPr/>
              <w:t xml:space="preserve">$ 17.00 </w:t>
            </w:r>
          </w:p>
        </w:tc>
        <w:tc>
          <w:tcPr>
            <w:tcW w:w="1786" w:type="dxa"/>
            <w:tcBorders/>
            <w:shd w:fill="E7E7E2" w:val="clear"/>
            <w:vAlign w:val="center"/>
          </w:tcPr>
          <w:p>
            <w:pPr>
              <w:pStyle w:val="TableContents"/>
              <w:bidi w:val="0"/>
              <w:spacing w:before="0" w:after="283"/>
              <w:jc w:val="right"/>
              <w:rPr/>
            </w:pPr>
            <w:r>
              <w:rPr/>
              <w:t xml:space="preserve">$ 144,375,016.00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right"/>
              <w:rPr/>
            </w:pPr>
            <w:r>
              <w:rPr/>
              <w:t xml:space="preserve">$ 19,938.19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$0.0001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5,882,352 </w:t>
            </w:r>
          </w:p>
        </w:tc>
        <w:tc>
          <w:tcPr>
            <w:tcW w:w="1156" w:type="dxa"/>
            <w:tcBorders/>
            <w:shd w:fill="E7E7E2" w:val="clear"/>
            <w:vAlign w:val="center"/>
          </w:tcPr>
          <w:p>
            <w:pPr>
              <w:pStyle w:val="TableContents"/>
              <w:bidi w:val="0"/>
              <w:spacing w:before="0" w:after="283"/>
              <w:jc w:val="right"/>
              <w:rPr/>
            </w:pPr>
            <w:r>
              <w:rPr/>
              <w:t xml:space="preserve">$ 17.00 </w:t>
            </w:r>
          </w:p>
        </w:tc>
        <w:tc>
          <w:tcPr>
            <w:tcW w:w="1786" w:type="dxa"/>
            <w:tcBorders/>
            <w:shd w:fill="E7E7E2" w:val="clear"/>
            <w:vAlign w:val="center"/>
          </w:tcPr>
          <w:p>
            <w:pPr>
              <w:pStyle w:val="TableContents"/>
              <w:bidi w:val="0"/>
              <w:spacing w:before="0" w:after="283"/>
              <w:jc w:val="right"/>
              <w:rPr/>
            </w:pPr>
            <w:r>
              <w:rPr/>
              <w:t xml:space="preserve">$ 99,999,984.00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right"/>
              <w:rPr/>
            </w:pPr>
            <w:r>
              <w:rPr/>
              <w:t xml:space="preserve">$ 13,810.00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45" w:name="MaxAggtOfferingPrice"/>
            <w:bookmarkEnd w:id="45"/>
            <w:r>
              <w:rPr/>
              <w:t xml:space="preserve">$ 332,350,000.00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46" w:name="TotalFeeAmt"/>
            <w:bookmarkEnd w:id="46"/>
            <w:r>
              <w:rPr/>
              <w:t xml:space="preserve">$ 45,897.54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7" w:name="TotalPreviouslyPaidAmt"/>
            <w:bookmarkEnd w:id="47"/>
            <w:r>
              <w:rPr/>
              <w:t xml:space="preserve">$ 33,748.19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8" w:name="TotalOffsetAmt"/>
            <w:bookmarkEnd w:id="4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9" w:name="NetFeeAmt"/>
            <w:bookmarkEnd w:id="49"/>
            <w:r>
              <w:rPr/>
              <w:t xml:space="preserve">$ 12,149.35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6"/>
        <w:gridCol w:w="1294"/>
        <w:gridCol w:w="8705"/>
      </w:tblGrid>
      <w:tr>
        <w:trPr/>
        <w:tc>
          <w:tcPr>
            <w:tcW w:w="206"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9" w:type="dxa"/>
            <w:gridSpan w:val="2"/>
            <w:tcBorders/>
            <w:vAlign w:val="center"/>
          </w:tcPr>
          <w:p>
            <w:pPr>
              <w:pStyle w:val="TableContents"/>
              <w:bidi w:val="0"/>
              <w:spacing w:before="0" w:after="283"/>
              <w:jc w:val="left"/>
              <w:rPr/>
            </w:pPr>
            <w:r>
              <w:rPr/>
              <w:t xml:space="preserve">(a) Maximum Aggregate Offering Price estimated solely for the purpose of calculating the registration fee pursuant to Rule 457(a) under the Securities Act of 1933, as amended. (b) Includes the aggregate offering price of additional shares that the underwriters have the option to purchase from the registrant, if any.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r>
        <w:trPr/>
        <w:tc>
          <w:tcPr>
            <w:tcW w:w="206"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9999" w:type="dxa"/>
            <w:gridSpan w:val="2"/>
            <w:tcBorders/>
            <w:vAlign w:val="center"/>
          </w:tcPr>
          <w:p>
            <w:pPr>
              <w:pStyle w:val="TableContents"/>
              <w:bidi w:val="0"/>
              <w:spacing w:before="0" w:after="283"/>
              <w:jc w:val="left"/>
              <w:rPr/>
            </w:pPr>
            <w:r>
              <w:rPr/>
              <w:t xml:space="preserve">(a) The Registrant previously paid a registration fee of $19,938.19 in connection with the filing of Amendment No. 1 to the Registration Statement on Form S-1 on July 29, 2026. (b) See note 1(b) above.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r>
        <w:trPr/>
        <w:tc>
          <w:tcPr>
            <w:tcW w:w="206"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9999" w:type="dxa"/>
            <w:gridSpan w:val="2"/>
            <w:tcBorders/>
            <w:vAlign w:val="center"/>
          </w:tcPr>
          <w:p>
            <w:pPr>
              <w:pStyle w:val="TableContents"/>
              <w:bidi w:val="0"/>
              <w:spacing w:before="0" w:after="283"/>
              <w:jc w:val="left"/>
              <w:rPr/>
            </w:pPr>
            <w:r>
              <w:rPr/>
              <w:t xml:space="preserve">(a) The Registrant previously paid a registration fee of $13,810.00 in connection with the initial filing of the Registration Statement on Form S-1 on July 14, 2026. The fee was estimated solely for the purpose of calculating the registration fee in accordance with Rule 457(o) under the Securities Act of 1933, as amended. This Maximum Aggregate Offering Price was originally registered under 457(o) and was converted to 457(a) with the filing of Amendment No. 1 to the Registration Statement on July 29, 2026. (b) See note 1(b) above.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image" Target="media/image31.jpeg"/><Relationship Id="rId34" Type="http://schemas.openxmlformats.org/officeDocument/2006/relationships/image" Target="media/image32.jpeg"/><Relationship Id="rId35" Type="http://schemas.openxmlformats.org/officeDocument/2006/relationships/image" Target="media/image33.jpeg"/><Relationship Id="rId36" Type="http://schemas.openxmlformats.org/officeDocument/2006/relationships/image" Target="media/image34.jpeg"/><Relationship Id="rId37" Type="http://schemas.openxmlformats.org/officeDocument/2006/relationships/image" Target="media/image35.jpeg"/><Relationship Id="rId38" Type="http://schemas.openxmlformats.org/officeDocument/2006/relationships/image" Target="media/image36.jpeg"/><Relationship Id="rId39" Type="http://schemas.openxmlformats.org/officeDocument/2006/relationships/image" Target="media/image37.jpeg"/><Relationship Id="rId40" Type="http://schemas.openxmlformats.org/officeDocument/2006/relationships/image" Target="media/image38.jpeg"/><Relationship Id="rId41" Type="http://schemas.openxmlformats.org/officeDocument/2006/relationships/image" Target="media/image39.jpeg"/><Relationship Id="rId42" Type="http://schemas.openxmlformats.org/officeDocument/2006/relationships/image" Target="media/image1.jpeg"/><Relationship Id="rId43" Type="http://schemas.openxmlformats.org/officeDocument/2006/relationships/hyperlink" Target="http://www.sec.gov/Archives/edgar/data/0002058707/000119312526323618/d40469dex11.htm" TargetMode="External"/><Relationship Id="rId44" Type="http://schemas.openxmlformats.org/officeDocument/2006/relationships/hyperlink" Target="http://www.sec.gov/Archives/edgar/data/0002058707/000119312526323618/d40469dex31.htm" TargetMode="External"/><Relationship Id="rId45" Type="http://schemas.openxmlformats.org/officeDocument/2006/relationships/hyperlink" Target="http://www.sec.gov/Archives/edgar/data/0002058707/000119312526303256/d40469dex32.htm" TargetMode="External"/><Relationship Id="rId46" Type="http://schemas.openxmlformats.org/officeDocument/2006/relationships/hyperlink" Target="http://www.sec.gov/Archives/edgar/data/0002058707/000119312526303256/d40469dex33.htm" TargetMode="External"/><Relationship Id="rId47" Type="http://schemas.openxmlformats.org/officeDocument/2006/relationships/hyperlink" Target="http://www.sec.gov/Archives/edgar/data/0002058707/000119312526303256/d40469dex34.htm" TargetMode="External"/><Relationship Id="rId48" Type="http://schemas.openxmlformats.org/officeDocument/2006/relationships/hyperlink" Target="http://www.sec.gov/Archives/edgar/data/0002058707/000119312526323618/d40469dex41.htm" TargetMode="External"/><Relationship Id="rId49" Type="http://schemas.openxmlformats.org/officeDocument/2006/relationships/hyperlink" Target="http://www.sec.gov/Archives/edgar/data/0002058707/000119312526303256/d40469dex42.htm" TargetMode="External"/><Relationship Id="rId50" Type="http://schemas.openxmlformats.org/officeDocument/2006/relationships/hyperlink" Target="http://www.sec.gov/Archives/edgar/data/0002058707/000119312526303256/d40469dex101.htm" TargetMode="External"/><Relationship Id="rId51" Type="http://schemas.openxmlformats.org/officeDocument/2006/relationships/hyperlink" Target="http://www.sec.gov/Archives/edgar/data/0002058707/000119312526303256/d40469dex102.htm" TargetMode="External"/><Relationship Id="rId52" Type="http://schemas.openxmlformats.org/officeDocument/2006/relationships/hyperlink" Target="http://www.sec.gov/Archives/edgar/data/0002058707/000119312526323618/d40469dex103.htm" TargetMode="External"/><Relationship Id="rId53" Type="http://schemas.openxmlformats.org/officeDocument/2006/relationships/hyperlink" Target="http://www.sec.gov/Archives/edgar/data/0002058707/000119312526323618/d40469dex104.htm" TargetMode="External"/><Relationship Id="rId54" Type="http://schemas.openxmlformats.org/officeDocument/2006/relationships/hyperlink" Target="http://www.sec.gov/Archives/edgar/data/0002058707/000119312526303256/d40469dex105.htm" TargetMode="External"/><Relationship Id="rId55" Type="http://schemas.openxmlformats.org/officeDocument/2006/relationships/hyperlink" Target="http://www.sec.gov/Archives/edgar/data/0002058707/000119312526323618/d40469dex106.htm" TargetMode="External"/><Relationship Id="rId56" Type="http://schemas.openxmlformats.org/officeDocument/2006/relationships/hyperlink" Target="http://www.sec.gov/Archives/edgar/data/0002058707/000119312526323618/d40469dex107.htm" TargetMode="External"/><Relationship Id="rId57" Type="http://schemas.openxmlformats.org/officeDocument/2006/relationships/hyperlink" Target="http://www.sec.gov/Archives/edgar/data/0002058707/000119312526323618/d40469dex108.htm" TargetMode="External"/><Relationship Id="rId58" Type="http://schemas.openxmlformats.org/officeDocument/2006/relationships/hyperlink" Target="http://www.sec.gov/Archives/edgar/data/0002058707/000119312526323618/d40469dex109.htm" TargetMode="External"/><Relationship Id="rId59" Type="http://schemas.openxmlformats.org/officeDocument/2006/relationships/hyperlink" Target="http://www.sec.gov/Archives/edgar/data/0002058707/000119312526323618/d40469dex1010.htm" TargetMode="External"/><Relationship Id="rId60" Type="http://schemas.openxmlformats.org/officeDocument/2006/relationships/hyperlink" Target="http://www.sec.gov/Archives/edgar/data/0002058707/000119312526303256/d40469dex109.htm" TargetMode="External"/><Relationship Id="rId61" Type="http://schemas.openxmlformats.org/officeDocument/2006/relationships/hyperlink" Target="http://www.sec.gov/Archives/edgar/data/0002058707/000119312526303256/d40469dex1010.htm" TargetMode="External"/><Relationship Id="rId62" Type="http://schemas.openxmlformats.org/officeDocument/2006/relationships/hyperlink" Target="http://www.sec.gov/Archives/edgar/data/0002058707/000119312526303256/d40469dex211.htm" TargetMode="External"/><Relationship Id="rId63" Type="http://schemas.openxmlformats.org/officeDocument/2006/relationships/hyperlink" Target="http://www.sec.gov/Archives/edgar/data/0002058707/000119312526303256/d40469dex991.htm" TargetMode="External"/><Relationship Id="rId64" Type="http://schemas.openxmlformats.org/officeDocument/2006/relationships/image" Target="media/image40.jpeg"/><Relationship Id="rId65" Type="http://schemas.openxmlformats.org/officeDocument/2006/relationships/image" Target="media/image41.jpeg"/><Relationship Id="rId66" Type="http://schemas.openxmlformats.org/officeDocument/2006/relationships/image" Target="media/image42.jpeg"/><Relationship Id="rId67" Type="http://schemas.openxmlformats.org/officeDocument/2006/relationships/fontTable" Target="fontTable.xml"/><Relationship Id="rId6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303</Pages>
  <Words>157673</Words>
  <Characters>875369</Characters>
  <CharactersWithSpaces>1041889</CharactersWithSpaces>
  <Paragraphs>17210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