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3-08042026_110804.xml.htm"/>
      <w:bookmarkStart w:id="1" w:name="ksform308042026_110804"/>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0"/>
        <w:gridCol w:w="3062"/>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Chen Hubert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ATTOVIA THERAPEUTICS,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1091 INDUSTRIAL ROAD, SUITE 310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CARLOS</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94070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0"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08/04/2026</w:t>
            </w:r>
          </w:p>
        </w:tc>
        <w:tc>
          <w:tcPr>
            <w:tcW w:w="5614"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Attovia Therapeutics, Inc.</w:t>
              </w:r>
            </w:hyperlink>
            <w:r>
              <w:rPr/>
              <w:t xml:space="preserve"> [ </w:t>
            </w:r>
            <w:r>
              <w:rPr>
                <w:rFonts w:ascii="Times;serif" w:hAnsi="Times;serif"/>
                <w:color w:val="0000FF"/>
                <w:sz w:val="24"/>
                <w:shd w:fill="FFFFFF" w:val="clear"/>
              </w:rPr>
              <w:t>ATTO</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Medical Officer</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2,960</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663"/>
        <w:gridCol w:w="1223"/>
        <w:gridCol w:w="1129"/>
        <w:gridCol w:w="1340"/>
        <w:gridCol w:w="978"/>
        <w:gridCol w:w="1265"/>
        <w:gridCol w:w="1228"/>
        <w:gridCol w:w="1379"/>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66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318"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66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29"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34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7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2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7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66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05/08/2034</w:t>
            </w:r>
          </w:p>
        </w:tc>
        <w:tc>
          <w:tcPr>
            <w:tcW w:w="13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115,446</w:t>
            </w:r>
          </w:p>
        </w:tc>
        <w:tc>
          <w:tcPr>
            <w:tcW w:w="12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3.5302</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6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05/08/2034</w:t>
            </w:r>
          </w:p>
        </w:tc>
        <w:tc>
          <w:tcPr>
            <w:tcW w:w="13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96,878</w:t>
            </w:r>
          </w:p>
        </w:tc>
        <w:tc>
          <w:tcPr>
            <w:tcW w:w="12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3.5302</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6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1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05/17/2035</w:t>
            </w:r>
          </w:p>
        </w:tc>
        <w:tc>
          <w:tcPr>
            <w:tcW w:w="134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7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80,731</w:t>
            </w:r>
          </w:p>
        </w:tc>
        <w:tc>
          <w:tcPr>
            <w:tcW w:w="12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4.9237</w:t>
            </w:r>
          </w:p>
        </w:tc>
        <w:tc>
          <w:tcPr>
            <w:tcW w:w="122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option vests over a four-year period. The vesting schedule is as follows: 25% of the shares of common stock underlying the stock option vested on March 20, 2025, and an additional 1/48th of the total shares underlying the stock option vest in equal monthly installments over three years, subject to continued service to the Issuer through such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option vests over a four-year period. The vesting schedule is as follows: 25% of the shares of common stock underlying the stock option vested on May 9, 2025, and an additional 1/48th of the total shares underlying the stock option vest in equal monthly installments over three years, subject to continued service to the Issuer through such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option vests over a four-year period. The vesting schedule is as follows: 25% of the shares of common stock underlying the stock option vested on May 18, 2026, and an additional 1/48th of the total shares underlying the stock option vest in equal monthly installments over three years, subject to continued service to the Issuer through such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Steven Chan,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ind w:left="0" w:right="0" w:hanging="0"/>
        <w:jc w:val="left"/>
        <w:rPr/>
      </w:pPr>
      <w:r>
        <w:rPr/>
      </w:r>
      <w:bookmarkStart w:id="2" w:name="ex24-08042026_110804.htm"/>
      <w:bookmarkStart w:id="3" w:name="ksex2408042026_110804"/>
      <w:bookmarkStart w:id="4" w:name="ex24-08042026_110804.htm"/>
      <w:bookmarkStart w:id="5" w:name="ksex2408042026_110804"/>
      <w:bookmarkEnd w:id="4"/>
      <w:bookmarkEnd w:id="5"/>
      <w:r>
        <w:br w:type="page"/>
      </w:r>
    </w:p>
    <w:p>
      <w:pPr>
        <w:pStyle w:val="TextBody"/>
        <w:bidi w:val="0"/>
        <w:spacing w:before="0" w:after="0"/>
        <w:ind w:left="0" w:right="0" w:hanging="0"/>
        <w:jc w:val="center"/>
        <w:rPr>
          <w:b/>
          <w:sz w:val="22"/>
        </w:rPr>
      </w:pPr>
      <w:r>
        <w:rPr>
          <w:b/>
          <w:sz w:val="22"/>
        </w:rPr>
        <w:t>LIMITED POWER OF ATTORNEY</w:t>
      </w:r>
    </w:p>
    <w:p>
      <w:pPr>
        <w:pStyle w:val="TextBody"/>
        <w:bidi w:val="0"/>
        <w:spacing w:before="0" w:after="0"/>
        <w:ind w:left="0" w:right="0" w:hanging="0"/>
        <w:jc w:val="center"/>
        <w:rPr/>
      </w:pPr>
      <w:r>
        <w:rPr/>
      </w:r>
    </w:p>
    <w:p>
      <w:pPr>
        <w:pStyle w:val="TextBody"/>
        <w:bidi w:val="0"/>
        <w:spacing w:before="0" w:after="0"/>
        <w:ind w:left="0" w:right="0" w:firstLine="720"/>
        <w:jc w:val="both"/>
        <w:rPr>
          <w:sz w:val="22"/>
        </w:rPr>
      </w:pPr>
      <w:r>
        <w:rPr>
          <w:sz w:val="22"/>
        </w:rPr>
        <w:t>The undersigned hereby constitutes and appoints Tao Fu and Steven Chan (each, an “</w:t>
      </w:r>
      <w:r>
        <w:rPr>
          <w:b/>
          <w:i/>
          <w:sz w:val="22"/>
        </w:rPr>
        <w:t>Attorney-in-Fact</w:t>
      </w:r>
      <w:r>
        <w:rPr>
          <w:sz w:val="22"/>
        </w:rPr>
        <w:t>”), as long as such individual is providing services to Attovia Therapeutics, Inc., a Delaware corporation (the “</w:t>
      </w:r>
      <w:r>
        <w:rPr>
          <w:b/>
          <w:i/>
          <w:sz w:val="22"/>
        </w:rPr>
        <w:t>Company</w:t>
      </w:r>
      <w:r>
        <w:rPr>
          <w:sz w:val="22"/>
        </w:rPr>
        <w:t>”), acting individually, as the undersigned’s true and lawful attorney-in-fact to:</w:t>
      </w:r>
    </w:p>
    <w:p>
      <w:pPr>
        <w:pStyle w:val="TextBody"/>
        <w:bidi w:val="0"/>
        <w:spacing w:before="0" w:after="0"/>
        <w:ind w:left="0" w:right="0" w:hanging="0"/>
        <w:jc w:val="both"/>
        <w:rPr/>
      </w:pPr>
      <w:r>
        <w:rPr/>
      </w:r>
    </w:p>
    <w:p>
      <w:pPr>
        <w:pStyle w:val="TextBody"/>
        <w:pBdr/>
        <w:bidi w:val="0"/>
        <w:spacing w:before="0" w:after="0"/>
        <w:ind w:left="0" w:right="0" w:hanging="30"/>
        <w:jc w:val="both"/>
        <w:rPr>
          <w:sz w:val="22"/>
        </w:rPr>
      </w:pPr>
      <w:r>
        <w:rPr>
          <w:sz w:val="22"/>
        </w:rPr>
        <w:t>execute for and on behalf of the undersigned, in the undersigned’s capacity as an officer and/or director of the Company, Forms 3, 4, and 5, and any amendments thereto, in accordance with Section 16(a) of the Securities Exchange Act of 1934 (as amended, the “</w:t>
      </w:r>
      <w:r>
        <w:rPr>
          <w:b/>
          <w:i/>
          <w:sz w:val="22"/>
        </w:rPr>
        <w:t>Exchange Act</w:t>
      </w:r>
      <w:r>
        <w:rPr>
          <w:sz w:val="22"/>
        </w:rPr>
        <w:t>”), and the rules and regulations thereunder;</w:t>
      </w:r>
      <w:r>
        <mc:AlternateContent>
          <mc:Choice Requires="wps">
            <w:drawing>
              <wp:anchor behindDoc="0" distT="0" distB="0" distL="0" distR="0" simplePos="0" locked="0" layoutInCell="1" allowOverlap="1" relativeHeight="4">
                <wp:simplePos x="0" y="0"/>
                <wp:positionH relativeFrom="column">
                  <wp:align>left</wp:align>
                </wp:positionH>
                <wp:positionV relativeFrom="line">
                  <wp:posOffset>635</wp:posOffset>
                </wp:positionV>
                <wp:extent cx="685800" cy="160655"/>
                <wp:effectExtent l="0" t="0" r="0" b="0"/>
                <wp:wrapSquare wrapText="right"/>
                <wp:docPr id="3" name="Frame1"/>
                <a:graphic xmlns:a="http://schemas.openxmlformats.org/drawingml/2006/main">
                  <a:graphicData uri="http://schemas.microsoft.com/office/word/2010/wordprocessingShape">
                    <wps:wsp>
                      <wps:cNvSpPr txBox="1"/>
                      <wps:spPr>
                        <a:xfrm>
                          <a:off x="0" y="0"/>
                          <a:ext cx="685800" cy="160655"/>
                        </a:xfrm>
                        <a:prstGeom prst="rect"/>
                        <a:solidFill>
                          <a:srgbClr val="FFFFFF"/>
                        </a:solidFill>
                      </wps:spPr>
                      <wps:txbx>
                        <w:txbxContent>
                          <w:p>
                            <w:pPr>
                              <w:pStyle w:val="TextBody"/>
                              <w:bidi w:val="0"/>
                              <w:spacing w:before="0" w:after="283"/>
                              <w:jc w:val="left"/>
                              <w:rPr>
                                <w:sz w:val="22"/>
                              </w:rPr>
                            </w:pPr>
                            <w:r>
                              <w:rPr>
                                <w:sz w:val="22"/>
                              </w:rPr>
                              <w:t>(1)</w:t>
                            </w:r>
                          </w:p>
                        </w:txbxContent>
                      </wps:txbx>
                      <wps:bodyPr anchor="t" lIns="0" tIns="0" rIns="0" bIns="0">
                        <a:noAutofit/>
                      </wps:bodyPr>
                    </wps:wsp>
                  </a:graphicData>
                </a:graphic>
              </wp:anchor>
            </w:drawing>
          </mc:Choice>
          <mc:Fallback>
            <w:pict>
              <v:rect style="position:absolute;rotation:-0;width:54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2"/>
                        </w:rPr>
                      </w:pPr>
                      <w:r>
                        <w:rPr>
                          <w:sz w:val="22"/>
                        </w:rPr>
                        <w:t>(1)</w:t>
                      </w:r>
                    </w:p>
                  </w:txbxContent>
                </v:textbox>
                <w10:wrap type="square" side="right"/>
              </v:rect>
            </w:pict>
          </mc:Fallback>
        </mc:AlternateContent>
      </w:r>
    </w:p>
    <w:p>
      <w:pPr>
        <w:pStyle w:val="TextBody"/>
        <w:bidi w:val="0"/>
        <w:spacing w:before="0" w:after="0"/>
        <w:ind w:left="0" w:right="0" w:hanging="0"/>
        <w:jc w:val="both"/>
        <w:rPr/>
      </w:pPr>
      <w:r>
        <w:rPr/>
      </w:r>
    </w:p>
    <w:p>
      <w:pPr>
        <w:pStyle w:val="TextBody"/>
        <w:pBdr/>
        <w:bidi w:val="0"/>
        <w:spacing w:before="0" w:after="0"/>
        <w:ind w:left="0" w:right="0" w:hanging="30"/>
        <w:jc w:val="both"/>
        <w:rPr>
          <w:sz w:val="22"/>
        </w:rPr>
      </w:pPr>
      <w:r>
        <w:rPr>
          <w:sz w:val="22"/>
        </w:rPr>
        <w:t>do and perform any and all acts for and on behalf of the undersigned that may be necessary or desirable to complete and execute any such Forms 3, 4, and 5, and any amendments thereto, and file such forms with the United States Securities and Exchange Commission and any stock exchange or similar authority, if required; and</w:t>
      </w:r>
      <w:r>
        <mc:AlternateContent>
          <mc:Choice Requires="wps">
            <w:drawing>
              <wp:anchor behindDoc="0" distT="0" distB="0" distL="0" distR="0" simplePos="0" locked="0" layoutInCell="1" allowOverlap="1" relativeHeight="5">
                <wp:simplePos x="0" y="0"/>
                <wp:positionH relativeFrom="column">
                  <wp:align>left</wp:align>
                </wp:positionH>
                <wp:positionV relativeFrom="line">
                  <wp:posOffset>635</wp:posOffset>
                </wp:positionV>
                <wp:extent cx="685800" cy="160655"/>
                <wp:effectExtent l="0" t="0" r="0" b="0"/>
                <wp:wrapSquare wrapText="right"/>
                <wp:docPr id="4" name="Frame2"/>
                <a:graphic xmlns:a="http://schemas.openxmlformats.org/drawingml/2006/main">
                  <a:graphicData uri="http://schemas.microsoft.com/office/word/2010/wordprocessingShape">
                    <wps:wsp>
                      <wps:cNvSpPr txBox="1"/>
                      <wps:spPr>
                        <a:xfrm>
                          <a:off x="0" y="0"/>
                          <a:ext cx="685800" cy="160655"/>
                        </a:xfrm>
                        <a:prstGeom prst="rect"/>
                        <a:solidFill>
                          <a:srgbClr val="FFFFFF"/>
                        </a:solidFill>
                      </wps:spPr>
                      <wps:txbx>
                        <w:txbxContent>
                          <w:p>
                            <w:pPr>
                              <w:pStyle w:val="TextBody"/>
                              <w:bidi w:val="0"/>
                              <w:spacing w:before="0" w:after="283"/>
                              <w:jc w:val="left"/>
                              <w:rPr>
                                <w:sz w:val="22"/>
                              </w:rPr>
                            </w:pPr>
                            <w:r>
                              <w:rPr>
                                <w:sz w:val="22"/>
                              </w:rPr>
                              <w:t>(2)</w:t>
                            </w:r>
                          </w:p>
                        </w:txbxContent>
                      </wps:txbx>
                      <wps:bodyPr anchor="t" lIns="0" tIns="0" rIns="0" bIns="0">
                        <a:noAutofit/>
                      </wps:bodyPr>
                    </wps:wsp>
                  </a:graphicData>
                </a:graphic>
              </wp:anchor>
            </w:drawing>
          </mc:Choice>
          <mc:Fallback>
            <w:pict>
              <v:rect style="position:absolute;rotation:-0;width:54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2"/>
                        </w:rPr>
                      </w:pPr>
                      <w:r>
                        <w:rPr>
                          <w:sz w:val="22"/>
                        </w:rPr>
                        <w:t>(2)</w:t>
                      </w:r>
                    </w:p>
                  </w:txbxContent>
                </v:textbox>
                <w10:wrap type="square" side="right"/>
              </v:rect>
            </w:pict>
          </mc:Fallback>
        </mc:AlternateContent>
      </w:r>
    </w:p>
    <w:p>
      <w:pPr>
        <w:pStyle w:val="TextBody"/>
        <w:bidi w:val="0"/>
        <w:spacing w:before="0" w:after="0"/>
        <w:ind w:left="0" w:right="0" w:hanging="0"/>
        <w:jc w:val="both"/>
        <w:rPr/>
      </w:pPr>
      <w:r>
        <w:rPr/>
      </w:r>
    </w:p>
    <w:p>
      <w:pPr>
        <w:pStyle w:val="TextBody"/>
        <w:pBdr/>
        <w:bidi w:val="0"/>
        <w:spacing w:before="0" w:after="0"/>
        <w:ind w:left="0" w:right="0" w:hanging="30"/>
        <w:jc w:val="both"/>
        <w:rPr>
          <w:sz w:val="22"/>
        </w:rPr>
      </w:pPr>
      <w:r>
        <w:rPr>
          <w:sz w:val="22"/>
        </w:rPr>
        <w:t>take any other action of any type whatsoever in connection with the foregoing that, in the opinion of the Attorney-in-Fact, may be of benefit to, in the best interest of, or legally required by, the undersigned, it being understood that the documents executed by the Attorney-in-Fact on behalf of the undersigned pursuant to this Power of Attorney shall be in such form and shall contain such terms and conditions as the Attorney-in-Fact may approve in the Attorney-in-Fact’s discretion.</w:t>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685800" cy="160655"/>
                <wp:effectExtent l="0" t="0" r="0" b="0"/>
                <wp:wrapSquare wrapText="right"/>
                <wp:docPr id="5" name="Frame3"/>
                <a:graphic xmlns:a="http://schemas.openxmlformats.org/drawingml/2006/main">
                  <a:graphicData uri="http://schemas.microsoft.com/office/word/2010/wordprocessingShape">
                    <wps:wsp>
                      <wps:cNvSpPr txBox="1"/>
                      <wps:spPr>
                        <a:xfrm>
                          <a:off x="0" y="0"/>
                          <a:ext cx="685800" cy="160655"/>
                        </a:xfrm>
                        <a:prstGeom prst="rect"/>
                        <a:solidFill>
                          <a:srgbClr val="FFFFFF"/>
                        </a:solidFill>
                      </wps:spPr>
                      <wps:txbx>
                        <w:txbxContent>
                          <w:p>
                            <w:pPr>
                              <w:pStyle w:val="TextBody"/>
                              <w:bidi w:val="0"/>
                              <w:spacing w:before="0" w:after="283"/>
                              <w:jc w:val="left"/>
                              <w:rPr>
                                <w:sz w:val="22"/>
                              </w:rPr>
                            </w:pPr>
                            <w:r>
                              <w:rPr>
                                <w:sz w:val="22"/>
                              </w:rPr>
                              <w:t>(3)</w:t>
                            </w:r>
                          </w:p>
                        </w:txbxContent>
                      </wps:txbx>
                      <wps:bodyPr anchor="t" lIns="0" tIns="0" rIns="0" bIns="0">
                        <a:noAutofit/>
                      </wps:bodyPr>
                    </wps:wsp>
                  </a:graphicData>
                </a:graphic>
              </wp:anchor>
            </w:drawing>
          </mc:Choice>
          <mc:Fallback>
            <w:pict>
              <v:rect style="position:absolute;rotation:-0;width:54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2"/>
                        </w:rPr>
                      </w:pPr>
                      <w:r>
                        <w:rPr>
                          <w:sz w:val="22"/>
                        </w:rPr>
                        <w:t>(3)</w:t>
                      </w:r>
                    </w:p>
                  </w:txbxContent>
                </v:textbox>
                <w10:wrap type="square" side="right"/>
              </v:rect>
            </w:pict>
          </mc:Fallback>
        </mc:AlternateContent>
      </w:r>
    </w:p>
    <w:p>
      <w:pPr>
        <w:pStyle w:val="TextBody"/>
        <w:bidi w:val="0"/>
        <w:spacing w:before="0" w:after="0"/>
        <w:ind w:left="0" w:right="0" w:hanging="0"/>
        <w:jc w:val="both"/>
        <w:rPr/>
      </w:pPr>
      <w:r>
        <w:rPr/>
      </w:r>
    </w:p>
    <w:p>
      <w:pPr>
        <w:pStyle w:val="TextBody"/>
        <w:bidi w:val="0"/>
        <w:spacing w:before="0" w:after="0"/>
        <w:ind w:left="0" w:right="0" w:firstLine="720"/>
        <w:jc w:val="both"/>
        <w:rPr>
          <w:sz w:val="22"/>
        </w:rPr>
      </w:pPr>
      <w:r>
        <w:rPr>
          <w:sz w:val="22"/>
        </w:rPr>
        <w:t>The undersigned hereby grants to the Attorney-in-Fact full power and authority to do and perform each and every act and thing whatsoever requisite, necessary or proper to be done in the exercise of any of the rights and powers herein granted, as fully to all intents and purposes as the undersigned might or could do if personally present, with full power of substitution and revocation, hereby ratifying and confirming all that the Attorney-in-Fact, or the Attorney-in-Fact’s substitute or substitutes, shall lawfully do or cause to be done by virtue of this Power of Attorney and the rights and powers herein granted.  The undersigned acknowledges that the foregoing Attorney-in-Fact, in serving in such capacity at the request of the undersigned, is not assuming, nor is the Company assuming, any of the undersigned’s responsibilities to comply with Section 16 of the Exchange Act.</w:t>
      </w:r>
    </w:p>
    <w:p>
      <w:pPr>
        <w:pStyle w:val="TextBody"/>
        <w:bidi w:val="0"/>
        <w:spacing w:before="0" w:after="0"/>
        <w:ind w:left="0" w:right="0" w:hanging="0"/>
        <w:jc w:val="both"/>
        <w:rPr/>
      </w:pPr>
      <w:r>
        <w:rPr/>
      </w:r>
    </w:p>
    <w:p>
      <w:pPr>
        <w:pStyle w:val="TextBody"/>
        <w:bidi w:val="0"/>
        <w:spacing w:before="0" w:after="0"/>
        <w:ind w:left="0" w:right="0" w:firstLine="705"/>
        <w:jc w:val="both"/>
        <w:rPr>
          <w:sz w:val="22"/>
        </w:rPr>
      </w:pPr>
      <w:r>
        <w:rPr>
          <w:sz w:val="22"/>
        </w:rPr>
        <w:t>The undersigned agrees that the Attorney-in-Fact may rely entirely on information furnished orally or in writing by the undersigned to the Attorney-in-Fact.  The undersigned also agrees to indemnify and hold harmless the Company and the Attorney-in-Fact against any losses, claims, damages or liabilities (or actions in these respects) that arise out of or are based on any untrue statement or omission of necessary facts in the information provided by the undersigned to the Attorney-in-Fact for purposes of executing, acknowledging, delivering and filing Forms 3, 4, or 5 (including amendments thereto) and agrees to reimburse the Company and the Attorney-in-Fact for any legal or other expenses reasonably incurred in connection with investigating or defending against any such loss, claim, damage, liability or action.</w:t>
      </w:r>
    </w:p>
    <w:p>
      <w:pPr>
        <w:pStyle w:val="TextBody"/>
        <w:bidi w:val="0"/>
        <w:spacing w:before="0" w:after="0"/>
        <w:ind w:left="0" w:right="0" w:hanging="0"/>
        <w:jc w:val="both"/>
        <w:rPr/>
      </w:pPr>
      <w:r>
        <w:rPr/>
      </w:r>
    </w:p>
    <w:p>
      <w:pPr>
        <w:pStyle w:val="TextBody"/>
        <w:bidi w:val="0"/>
        <w:spacing w:before="0" w:after="0"/>
        <w:ind w:left="0" w:right="0" w:firstLine="720"/>
        <w:jc w:val="both"/>
        <w:rPr>
          <w:sz w:val="22"/>
        </w:rPr>
      </w:pPr>
      <w:r>
        <w:rPr>
          <w:sz w:val="22"/>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Attorney-in-Fact.</w:t>
      </w:r>
    </w:p>
    <w:p>
      <w:pPr>
        <w:pStyle w:val="TextBody"/>
        <w:bidi w:val="0"/>
        <w:spacing w:before="0" w:after="0"/>
        <w:ind w:left="0" w:right="0" w:hanging="0"/>
        <w:jc w:val="both"/>
        <w:rPr/>
      </w:pPr>
      <w:r>
        <w:rPr/>
      </w:r>
    </w:p>
    <w:p>
      <w:pPr>
        <w:pStyle w:val="TextBody"/>
        <w:bidi w:val="0"/>
        <w:spacing w:before="0" w:after="135"/>
        <w:jc w:val="left"/>
        <w:rPr/>
      </w:pPr>
      <w:r>
        <w:rPr/>
      </w:r>
    </w:p>
    <w:p>
      <w:pPr>
        <w:pStyle w:val="TextBody"/>
        <w:bidi w:val="0"/>
        <w:spacing w:before="0" w:after="0"/>
        <w:ind w:left="0" w:right="0" w:hanging="0"/>
        <w:jc w:val="both"/>
        <w:rPr/>
      </w:pPr>
      <w:r>
        <w:rPr/>
      </w:r>
    </w:p>
    <w:p>
      <w:pPr>
        <w:pStyle w:val="TextBody"/>
        <w:bidi w:val="0"/>
        <w:spacing w:before="0" w:after="0"/>
        <w:ind w:left="0" w:right="0" w:hanging="0"/>
        <w:jc w:val="left"/>
        <w:rPr/>
      </w:pPr>
      <w:r>
        <w:rPr/>
      </w:r>
    </w:p>
    <w:p>
      <w:pPr>
        <w:pStyle w:val="HorizontalLine"/>
        <w:pBdr>
          <w:bottom w:val="single" w:sz="6" w:space="0" w:color="808080"/>
        </w:pBdr>
        <w:bidi w:val="0"/>
        <w:jc w:val="left"/>
        <w:rPr/>
      </w:pPr>
      <w:r>
        <w:rPr/>
      </w:r>
      <w:r>
        <w:br w:type="page"/>
      </w:r>
    </w:p>
    <w:p>
      <w:pPr>
        <w:pStyle w:val="TextBody"/>
        <w:bidi w:val="0"/>
        <w:spacing w:before="0" w:after="0"/>
        <w:ind w:left="0" w:right="0" w:hanging="0"/>
        <w:jc w:val="left"/>
        <w:rPr/>
      </w:pPr>
      <w:r>
        <w:rPr/>
      </w:r>
    </w:p>
    <w:p>
      <w:pPr>
        <w:pStyle w:val="TextBody"/>
        <w:bidi w:val="0"/>
        <w:spacing w:before="0" w:after="0"/>
        <w:ind w:left="0" w:right="0" w:firstLine="705"/>
        <w:jc w:val="both"/>
        <w:rPr>
          <w:sz w:val="22"/>
        </w:rPr>
      </w:pPr>
      <w:r>
        <w:rPr>
          <w:b/>
          <w:sz w:val="22"/>
        </w:rPr>
        <w:t>IN WITNESS WHEREOF</w:t>
      </w:r>
      <w:r>
        <w:rPr>
          <w:sz w:val="22"/>
        </w:rPr>
        <w:t>, the undersigned has caused this Power of Attorney to be executed as of this 19</w:t>
      </w:r>
      <w:r>
        <w:rPr>
          <w:position w:val="7"/>
          <w:sz w:val="18"/>
          <w:sz w:val="22"/>
        </w:rPr>
        <w:t>th</w:t>
      </w:r>
      <w:r>
        <w:rPr>
          <w:sz w:val="22"/>
        </w:rPr>
        <w:t xml:space="preserve"> day of June, 2026.</w:t>
      </w:r>
    </w:p>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TextBody"/>
        <w:pBdr/>
        <w:bidi w:val="0"/>
        <w:spacing w:before="0" w:after="0"/>
        <w:ind w:left="0" w:right="0" w:hanging="0"/>
        <w:jc w:val="left"/>
        <w:rPr>
          <w:sz w:val="22"/>
        </w:rPr>
      </w:pPr>
      <w:r>
        <w:rPr>
          <w:sz w:val="22"/>
        </w:rPr>
        <w:t>By: /s/ Hubert Chen</w:t>
      </w:r>
    </w:p>
    <w:p>
      <w:pPr>
        <w:pStyle w:val="TextBody"/>
        <w:pBdr/>
        <w:bidi w:val="0"/>
        <w:spacing w:before="0" w:after="0"/>
        <w:ind w:left="0" w:right="0" w:hanging="30"/>
        <w:jc w:val="left"/>
        <w:rPr/>
      </w:pPr>
      <w:r>
        <w:rPr/>
        <w:t> </w:t>
      </w:r>
      <w:r>
        <w:rPr>
          <w:sz w:val="22"/>
        </w:rPr>
        <w:t>Hubert Chen</w:t>
      </w:r>
      <w:r>
        <mc:AlternateContent>
          <mc:Choice Requires="wps">
            <w:drawing>
              <wp:anchor behindDoc="0" distT="0" distB="0" distL="0" distR="0" simplePos="0" locked="0" layoutInCell="1" allowOverlap="1" relativeHeight="7">
                <wp:simplePos x="0" y="0"/>
                <wp:positionH relativeFrom="column">
                  <wp:align>left</wp:align>
                </wp:positionH>
                <wp:positionV relativeFrom="line">
                  <wp:posOffset>635</wp:posOffset>
                </wp:positionV>
                <wp:extent cx="3657600" cy="160655"/>
                <wp:effectExtent l="0" t="0" r="0" b="0"/>
                <wp:wrapSquare wrapText="right"/>
                <wp:docPr id="6" name="Frame4"/>
                <a:graphic xmlns:a="http://schemas.openxmlformats.org/drawingml/2006/main">
                  <a:graphicData uri="http://schemas.microsoft.com/office/word/2010/wordprocessingShape">
                    <wps:wsp>
                      <wps:cNvSpPr txBox="1"/>
                      <wps:spPr>
                        <a:xfrm>
                          <a:off x="0" y="0"/>
                          <a:ext cx="3657600" cy="160655"/>
                        </a:xfrm>
                        <a:prstGeom prst="rect"/>
                        <a:solidFill>
                          <a:srgbClr val="FFFFFF"/>
                        </a:solidFill>
                      </wps:spPr>
                      <wps:txbx>
                        <w:txbxContent>
                          <w:p>
                            <w:pPr>
                              <w:pStyle w:val="TextBody"/>
                              <w:bidi w:val="0"/>
                              <w:spacing w:before="0" w:after="283"/>
                              <w:jc w:val="left"/>
                              <w:rPr>
                                <w:sz w:val="22"/>
                              </w:rPr>
                            </w:pPr>
                            <w:r>
                              <w:rPr>
                                <w:sz w:val="22"/>
                              </w:rPr>
                              <w:t>Name:</w:t>
                            </w:r>
                          </w:p>
                        </w:txbxContent>
                      </wps:txbx>
                      <wps:bodyPr anchor="t" lIns="0" tIns="0" rIns="0" bIns="0">
                        <a:noAutofit/>
                      </wps:bodyPr>
                    </wps:wsp>
                  </a:graphicData>
                </a:graphic>
              </wp:anchor>
            </w:drawing>
          </mc:Choice>
          <mc:Fallback>
            <w:pict>
              <v:rect style="position:absolute;rotation:-0;width:288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2"/>
                        </w:rPr>
                      </w:pPr>
                      <w:r>
                        <w:rPr>
                          <w:sz w:val="22"/>
                        </w:rPr>
                        <w:t>Name:</w:t>
                      </w:r>
                    </w:p>
                  </w:txbxContent>
                </v:textbox>
                <w10:wrap type="square" side="right"/>
              </v:rect>
            </w:pict>
          </mc:Fallback>
        </mc:AlternateContent>
      </w:r>
    </w:p>
    <w:p>
      <w:pPr>
        <w:pStyle w:val="TextBody"/>
        <w:bidi w:val="0"/>
        <w:spacing w:before="0" w:after="0"/>
        <w:ind w:left="0" w:right="0" w:hanging="0"/>
        <w:jc w:val="left"/>
        <w:rPr/>
      </w:pPr>
      <w:r>
        <w:rPr/>
      </w:r>
    </w:p>
    <w:p>
      <w:pPr>
        <w:pStyle w:val="TextBody"/>
        <w:bidi w:val="0"/>
        <w:spacing w:before="0" w:after="0"/>
        <w:ind w:left="0" w:right="0" w:hanging="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42262" TargetMode="External"/><Relationship Id="rId3" Type="http://schemas.openxmlformats.org/officeDocument/2006/relationships/hyperlink" Target="http://www.sec.gov/cgi-bin/browse-edgar?action=getcompany&amp;CIK=0002058707"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1191</Words>
  <Characters>6350</Characters>
  <CharactersWithSpaces>7458</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